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731衡水市科学技术协会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818.29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625.97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818.29</w:t>
            </w:r>
          </w:p>
        </w:tc>
        <w:tc>
          <w:tcPr>
            <w:tcW w:w="4535" w:type="dxa"/>
            <w:vAlign w:val="center"/>
          </w:tcPr>
          <w:p>
            <w:pPr>
              <w:pStyle w:val="14"/>
            </w:pPr>
            <w:r>
              <w:t>本年支出合计</w:t>
            </w:r>
          </w:p>
        </w:tc>
        <w:tc>
          <w:tcPr>
            <w:tcW w:w="2126" w:type="dxa"/>
            <w:vAlign w:val="center"/>
          </w:tcPr>
          <w:p>
            <w:pPr>
              <w:pStyle w:val="15"/>
            </w:pPr>
            <w:r>
              <w:t>818.29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818.29</w:t>
            </w:r>
          </w:p>
        </w:tc>
        <w:tc>
          <w:tcPr>
            <w:tcW w:w="4535" w:type="dxa"/>
            <w:vAlign w:val="center"/>
          </w:tcPr>
          <w:p>
            <w:pPr>
              <w:pStyle w:val="14"/>
            </w:pPr>
            <w:r>
              <w:t>支出总计</w:t>
            </w:r>
          </w:p>
        </w:tc>
        <w:tc>
          <w:tcPr>
            <w:tcW w:w="2126" w:type="dxa"/>
            <w:vAlign w:val="center"/>
          </w:tcPr>
          <w:p>
            <w:pPr>
              <w:pStyle w:val="15"/>
            </w:pPr>
            <w:r>
              <w:t>818.29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731衡水市科学技术协会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818.29</w:t>
            </w:r>
          </w:p>
        </w:tc>
        <w:tc>
          <w:tcPr>
            <w:tcW w:w="1134" w:type="dxa"/>
            <w:vAlign w:val="center"/>
          </w:tcPr>
          <w:p>
            <w:pPr>
              <w:pStyle w:val="15"/>
            </w:pPr>
            <w:r>
              <w:t>818.29</w:t>
            </w:r>
          </w:p>
        </w:tc>
        <w:tc>
          <w:tcPr>
            <w:tcW w:w="1134" w:type="dxa"/>
            <w:vAlign w:val="center"/>
          </w:tcPr>
          <w:p>
            <w:pPr>
              <w:pStyle w:val="15"/>
            </w:pPr>
            <w:r>
              <w:t>818.29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625.97</w:t>
            </w:r>
          </w:p>
        </w:tc>
        <w:tc>
          <w:tcPr>
            <w:tcW w:w="1134" w:type="dxa"/>
            <w:vAlign w:val="center"/>
          </w:tcPr>
          <w:p>
            <w:pPr>
              <w:pStyle w:val="11"/>
            </w:pPr>
            <w:r>
              <w:t>625.97</w:t>
            </w:r>
          </w:p>
        </w:tc>
        <w:tc>
          <w:tcPr>
            <w:tcW w:w="1134" w:type="dxa"/>
            <w:vAlign w:val="center"/>
          </w:tcPr>
          <w:p>
            <w:pPr>
              <w:pStyle w:val="11"/>
            </w:pPr>
            <w:r>
              <w:t>625.97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625.97</w:t>
            </w:r>
          </w:p>
        </w:tc>
        <w:tc>
          <w:tcPr>
            <w:tcW w:w="1134" w:type="dxa"/>
            <w:vAlign w:val="center"/>
          </w:tcPr>
          <w:p>
            <w:pPr>
              <w:pStyle w:val="11"/>
            </w:pPr>
            <w:r>
              <w:t>625.97</w:t>
            </w:r>
          </w:p>
        </w:tc>
        <w:tc>
          <w:tcPr>
            <w:tcW w:w="1134" w:type="dxa"/>
            <w:vAlign w:val="center"/>
          </w:tcPr>
          <w:p>
            <w:pPr>
              <w:pStyle w:val="11"/>
            </w:pPr>
            <w:r>
              <w:t>625.97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243.42</w:t>
            </w:r>
          </w:p>
        </w:tc>
        <w:tc>
          <w:tcPr>
            <w:tcW w:w="1134" w:type="dxa"/>
            <w:vAlign w:val="center"/>
          </w:tcPr>
          <w:p>
            <w:pPr>
              <w:pStyle w:val="11"/>
            </w:pPr>
            <w:r>
              <w:t>243.42</w:t>
            </w:r>
          </w:p>
        </w:tc>
        <w:tc>
          <w:tcPr>
            <w:tcW w:w="1134" w:type="dxa"/>
            <w:vAlign w:val="center"/>
          </w:tcPr>
          <w:p>
            <w:pPr>
              <w:pStyle w:val="11"/>
            </w:pPr>
            <w:r>
              <w:t>243.42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2060703</w:t>
            </w:r>
          </w:p>
        </w:tc>
        <w:tc>
          <w:tcPr>
            <w:tcW w:w="1559" w:type="dxa"/>
            <w:vAlign w:val="center"/>
          </w:tcPr>
          <w:p>
            <w:pPr>
              <w:pStyle w:val="12"/>
            </w:pPr>
            <w:r>
              <w:t>青少年科技活动</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2060704</w:t>
            </w:r>
          </w:p>
        </w:tc>
        <w:tc>
          <w:tcPr>
            <w:tcW w:w="1559" w:type="dxa"/>
            <w:vAlign w:val="center"/>
          </w:tcPr>
          <w:p>
            <w:pPr>
              <w:pStyle w:val="12"/>
            </w:pPr>
            <w:r>
              <w:t>学术交流活动</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301.55</w:t>
            </w:r>
          </w:p>
        </w:tc>
        <w:tc>
          <w:tcPr>
            <w:tcW w:w="1134" w:type="dxa"/>
            <w:vAlign w:val="center"/>
          </w:tcPr>
          <w:p>
            <w:pPr>
              <w:pStyle w:val="11"/>
            </w:pPr>
            <w:r>
              <w:t>301.55</w:t>
            </w:r>
          </w:p>
        </w:tc>
        <w:tc>
          <w:tcPr>
            <w:tcW w:w="1134" w:type="dxa"/>
            <w:vAlign w:val="center"/>
          </w:tcPr>
          <w:p>
            <w:pPr>
              <w:pStyle w:val="11"/>
            </w:pPr>
            <w:r>
              <w:t>301.55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137.47</w:t>
            </w:r>
          </w:p>
        </w:tc>
        <w:tc>
          <w:tcPr>
            <w:tcW w:w="1134" w:type="dxa"/>
            <w:vAlign w:val="center"/>
          </w:tcPr>
          <w:p>
            <w:pPr>
              <w:pStyle w:val="11"/>
            </w:pPr>
            <w:r>
              <w:t>137.47</w:t>
            </w:r>
          </w:p>
        </w:tc>
        <w:tc>
          <w:tcPr>
            <w:tcW w:w="1134" w:type="dxa"/>
            <w:vAlign w:val="center"/>
          </w:tcPr>
          <w:p>
            <w:pPr>
              <w:pStyle w:val="11"/>
            </w:pPr>
            <w:r>
              <w:t>137.47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137.47</w:t>
            </w:r>
          </w:p>
        </w:tc>
        <w:tc>
          <w:tcPr>
            <w:tcW w:w="1134" w:type="dxa"/>
            <w:vAlign w:val="center"/>
          </w:tcPr>
          <w:p>
            <w:pPr>
              <w:pStyle w:val="11"/>
            </w:pPr>
            <w:r>
              <w:t>137.47</w:t>
            </w:r>
          </w:p>
        </w:tc>
        <w:tc>
          <w:tcPr>
            <w:tcW w:w="1134" w:type="dxa"/>
            <w:vAlign w:val="center"/>
          </w:tcPr>
          <w:p>
            <w:pPr>
              <w:pStyle w:val="11"/>
            </w:pPr>
            <w:r>
              <w:t>137.47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59.93</w:t>
            </w:r>
          </w:p>
        </w:tc>
        <w:tc>
          <w:tcPr>
            <w:tcW w:w="1134" w:type="dxa"/>
            <w:vAlign w:val="center"/>
          </w:tcPr>
          <w:p>
            <w:pPr>
              <w:pStyle w:val="11"/>
            </w:pPr>
            <w:r>
              <w:t>59.93</w:t>
            </w:r>
          </w:p>
        </w:tc>
        <w:tc>
          <w:tcPr>
            <w:tcW w:w="1134" w:type="dxa"/>
            <w:vAlign w:val="center"/>
          </w:tcPr>
          <w:p>
            <w:pPr>
              <w:pStyle w:val="11"/>
            </w:pPr>
            <w:r>
              <w:t>59.93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57.78</w:t>
            </w:r>
          </w:p>
        </w:tc>
        <w:tc>
          <w:tcPr>
            <w:tcW w:w="1134" w:type="dxa"/>
            <w:vAlign w:val="center"/>
          </w:tcPr>
          <w:p>
            <w:pPr>
              <w:pStyle w:val="11"/>
            </w:pPr>
            <w:r>
              <w:t>57.78</w:t>
            </w:r>
          </w:p>
        </w:tc>
        <w:tc>
          <w:tcPr>
            <w:tcW w:w="1134" w:type="dxa"/>
            <w:vAlign w:val="center"/>
          </w:tcPr>
          <w:p>
            <w:pPr>
              <w:pStyle w:val="11"/>
            </w:pPr>
            <w:r>
              <w:t>57.78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16.92</w:t>
            </w:r>
          </w:p>
        </w:tc>
        <w:tc>
          <w:tcPr>
            <w:tcW w:w="1134" w:type="dxa"/>
            <w:vAlign w:val="center"/>
          </w:tcPr>
          <w:p>
            <w:pPr>
              <w:pStyle w:val="11"/>
            </w:pPr>
            <w:r>
              <w:t>16.92</w:t>
            </w:r>
          </w:p>
        </w:tc>
        <w:tc>
          <w:tcPr>
            <w:tcW w:w="1134" w:type="dxa"/>
            <w:vAlign w:val="center"/>
          </w:tcPr>
          <w:p>
            <w:pPr>
              <w:pStyle w:val="11"/>
            </w:pPr>
            <w:r>
              <w:t>16.92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16.92</w:t>
            </w:r>
          </w:p>
        </w:tc>
        <w:tc>
          <w:tcPr>
            <w:tcW w:w="1134" w:type="dxa"/>
            <w:vAlign w:val="center"/>
          </w:tcPr>
          <w:p>
            <w:pPr>
              <w:pStyle w:val="11"/>
            </w:pPr>
            <w:r>
              <w:t>16.92</w:t>
            </w:r>
          </w:p>
        </w:tc>
        <w:tc>
          <w:tcPr>
            <w:tcW w:w="1134" w:type="dxa"/>
            <w:vAlign w:val="center"/>
          </w:tcPr>
          <w:p>
            <w:pPr>
              <w:pStyle w:val="11"/>
            </w:pPr>
            <w:r>
              <w:t>16.92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37.93</w:t>
            </w:r>
          </w:p>
        </w:tc>
        <w:tc>
          <w:tcPr>
            <w:tcW w:w="1134" w:type="dxa"/>
            <w:vAlign w:val="center"/>
          </w:tcPr>
          <w:p>
            <w:pPr>
              <w:pStyle w:val="11"/>
            </w:pPr>
            <w:r>
              <w:t>37.93</w:t>
            </w:r>
          </w:p>
        </w:tc>
        <w:tc>
          <w:tcPr>
            <w:tcW w:w="1134" w:type="dxa"/>
            <w:vAlign w:val="center"/>
          </w:tcPr>
          <w:p>
            <w:pPr>
              <w:pStyle w:val="11"/>
            </w:pPr>
            <w:r>
              <w:t>37.93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37.93</w:t>
            </w:r>
          </w:p>
        </w:tc>
        <w:tc>
          <w:tcPr>
            <w:tcW w:w="1134" w:type="dxa"/>
            <w:vAlign w:val="center"/>
          </w:tcPr>
          <w:p>
            <w:pPr>
              <w:pStyle w:val="11"/>
            </w:pPr>
            <w:r>
              <w:t>37.93</w:t>
            </w:r>
          </w:p>
        </w:tc>
        <w:tc>
          <w:tcPr>
            <w:tcW w:w="1134" w:type="dxa"/>
            <w:vAlign w:val="center"/>
          </w:tcPr>
          <w:p>
            <w:pPr>
              <w:pStyle w:val="11"/>
            </w:pPr>
            <w:r>
              <w:t>37.93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37.93</w:t>
            </w:r>
          </w:p>
        </w:tc>
        <w:tc>
          <w:tcPr>
            <w:tcW w:w="1134" w:type="dxa"/>
            <w:vAlign w:val="center"/>
          </w:tcPr>
          <w:p>
            <w:pPr>
              <w:pStyle w:val="11"/>
            </w:pPr>
            <w:r>
              <w:t>37.93</w:t>
            </w:r>
          </w:p>
        </w:tc>
        <w:tc>
          <w:tcPr>
            <w:tcW w:w="1134" w:type="dxa"/>
            <w:vAlign w:val="center"/>
          </w:tcPr>
          <w:p>
            <w:pPr>
              <w:pStyle w:val="11"/>
            </w:pPr>
            <w:r>
              <w:t>37.93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818.29</w:t>
            </w:r>
          </w:p>
        </w:tc>
        <w:tc>
          <w:tcPr>
            <w:tcW w:w="1361" w:type="dxa"/>
            <w:vAlign w:val="center"/>
          </w:tcPr>
          <w:p>
            <w:pPr>
              <w:pStyle w:val="15"/>
            </w:pPr>
            <w:r>
              <w:t>614.29</w:t>
            </w:r>
          </w:p>
        </w:tc>
        <w:tc>
          <w:tcPr>
            <w:tcW w:w="1361" w:type="dxa"/>
            <w:vAlign w:val="center"/>
          </w:tcPr>
          <w:p>
            <w:pPr>
              <w:pStyle w:val="15"/>
            </w:pPr>
            <w:r>
              <w:t>204.00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625.97</w:t>
            </w:r>
          </w:p>
        </w:tc>
        <w:tc>
          <w:tcPr>
            <w:tcW w:w="1361" w:type="dxa"/>
            <w:vAlign w:val="center"/>
          </w:tcPr>
          <w:p>
            <w:pPr>
              <w:pStyle w:val="11"/>
            </w:pPr>
            <w:r>
              <w:t>421.97</w:t>
            </w:r>
          </w:p>
        </w:tc>
        <w:tc>
          <w:tcPr>
            <w:tcW w:w="1361" w:type="dxa"/>
            <w:vAlign w:val="center"/>
          </w:tcPr>
          <w:p>
            <w:pPr>
              <w:pStyle w:val="11"/>
            </w:pPr>
            <w:r>
              <w:t>204.00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6" w:type="dxa"/>
            <w:vAlign w:val="center"/>
          </w:tcPr>
          <w:p>
            <w:pPr>
              <w:pStyle w:val="12"/>
            </w:pPr>
            <w:r>
              <w:t>科学技术普及</w:t>
            </w:r>
          </w:p>
        </w:tc>
        <w:tc>
          <w:tcPr>
            <w:tcW w:w="1361" w:type="dxa"/>
            <w:vAlign w:val="center"/>
          </w:tcPr>
          <w:p>
            <w:pPr>
              <w:pStyle w:val="11"/>
            </w:pPr>
            <w:r>
              <w:t>625.97</w:t>
            </w:r>
          </w:p>
        </w:tc>
        <w:tc>
          <w:tcPr>
            <w:tcW w:w="1361" w:type="dxa"/>
            <w:vAlign w:val="center"/>
          </w:tcPr>
          <w:p>
            <w:pPr>
              <w:pStyle w:val="11"/>
            </w:pPr>
            <w:r>
              <w:t>421.97</w:t>
            </w:r>
          </w:p>
        </w:tc>
        <w:tc>
          <w:tcPr>
            <w:tcW w:w="1361" w:type="dxa"/>
            <w:vAlign w:val="center"/>
          </w:tcPr>
          <w:p>
            <w:pPr>
              <w:pStyle w:val="11"/>
            </w:pPr>
            <w:r>
              <w:t>204.00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6" w:type="dxa"/>
            <w:vAlign w:val="center"/>
          </w:tcPr>
          <w:p>
            <w:pPr>
              <w:pStyle w:val="12"/>
            </w:pPr>
            <w:r>
              <w:t>机构运行</w:t>
            </w:r>
          </w:p>
        </w:tc>
        <w:tc>
          <w:tcPr>
            <w:tcW w:w="1361" w:type="dxa"/>
            <w:vAlign w:val="center"/>
          </w:tcPr>
          <w:p>
            <w:pPr>
              <w:pStyle w:val="11"/>
            </w:pPr>
            <w:r>
              <w:t>243.42</w:t>
            </w:r>
          </w:p>
        </w:tc>
        <w:tc>
          <w:tcPr>
            <w:tcW w:w="1361" w:type="dxa"/>
            <w:vAlign w:val="center"/>
          </w:tcPr>
          <w:p>
            <w:pPr>
              <w:pStyle w:val="11"/>
            </w:pPr>
            <w:r>
              <w:t>243.42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6" w:type="dxa"/>
            <w:vAlign w:val="center"/>
          </w:tcPr>
          <w:p>
            <w:pPr>
              <w:pStyle w:val="12"/>
            </w:pPr>
            <w:r>
              <w:t>科普活动</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2060703</w:t>
            </w:r>
          </w:p>
        </w:tc>
        <w:tc>
          <w:tcPr>
            <w:tcW w:w="4536" w:type="dxa"/>
            <w:vAlign w:val="center"/>
          </w:tcPr>
          <w:p>
            <w:pPr>
              <w:pStyle w:val="12"/>
            </w:pPr>
            <w:r>
              <w:t>青少年科技活动</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2060704</w:t>
            </w:r>
          </w:p>
        </w:tc>
        <w:tc>
          <w:tcPr>
            <w:tcW w:w="4536" w:type="dxa"/>
            <w:vAlign w:val="center"/>
          </w:tcPr>
          <w:p>
            <w:pPr>
              <w:pStyle w:val="12"/>
            </w:pPr>
            <w:r>
              <w:t>学术交流活动</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2060799</w:t>
            </w:r>
          </w:p>
        </w:tc>
        <w:tc>
          <w:tcPr>
            <w:tcW w:w="4536" w:type="dxa"/>
            <w:vAlign w:val="center"/>
          </w:tcPr>
          <w:p>
            <w:pPr>
              <w:pStyle w:val="12"/>
            </w:pPr>
            <w:r>
              <w:t>其他科学技术普及支出</w:t>
            </w:r>
          </w:p>
        </w:tc>
        <w:tc>
          <w:tcPr>
            <w:tcW w:w="1361" w:type="dxa"/>
            <w:vAlign w:val="center"/>
          </w:tcPr>
          <w:p>
            <w:pPr>
              <w:pStyle w:val="11"/>
            </w:pPr>
            <w:r>
              <w:t>301.55</w:t>
            </w:r>
          </w:p>
        </w:tc>
        <w:tc>
          <w:tcPr>
            <w:tcW w:w="1361" w:type="dxa"/>
            <w:vAlign w:val="center"/>
          </w:tcPr>
          <w:p>
            <w:pPr>
              <w:pStyle w:val="11"/>
            </w:pPr>
            <w:r>
              <w:t>178.55</w:t>
            </w:r>
          </w:p>
        </w:tc>
        <w:tc>
          <w:tcPr>
            <w:tcW w:w="1361" w:type="dxa"/>
            <w:vAlign w:val="center"/>
          </w:tcPr>
          <w:p>
            <w:pPr>
              <w:pStyle w:val="11"/>
            </w:pPr>
            <w:r>
              <w:t>123.00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137.47</w:t>
            </w:r>
          </w:p>
        </w:tc>
        <w:tc>
          <w:tcPr>
            <w:tcW w:w="1361" w:type="dxa"/>
            <w:vAlign w:val="center"/>
          </w:tcPr>
          <w:p>
            <w:pPr>
              <w:pStyle w:val="11"/>
            </w:pPr>
            <w:r>
              <w:t>137.47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137.47</w:t>
            </w:r>
          </w:p>
        </w:tc>
        <w:tc>
          <w:tcPr>
            <w:tcW w:w="1361" w:type="dxa"/>
            <w:vAlign w:val="center"/>
          </w:tcPr>
          <w:p>
            <w:pPr>
              <w:pStyle w:val="11"/>
            </w:pPr>
            <w:r>
              <w:t>137.47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59.93</w:t>
            </w:r>
          </w:p>
        </w:tc>
        <w:tc>
          <w:tcPr>
            <w:tcW w:w="1361" w:type="dxa"/>
            <w:vAlign w:val="center"/>
          </w:tcPr>
          <w:p>
            <w:pPr>
              <w:pStyle w:val="11"/>
            </w:pPr>
            <w:r>
              <w:t>59.93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57.78</w:t>
            </w:r>
          </w:p>
        </w:tc>
        <w:tc>
          <w:tcPr>
            <w:tcW w:w="1361" w:type="dxa"/>
            <w:vAlign w:val="center"/>
          </w:tcPr>
          <w:p>
            <w:pPr>
              <w:pStyle w:val="11"/>
            </w:pPr>
            <w:r>
              <w:t>57.78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16.92</w:t>
            </w:r>
          </w:p>
        </w:tc>
        <w:tc>
          <w:tcPr>
            <w:tcW w:w="1361" w:type="dxa"/>
            <w:vAlign w:val="center"/>
          </w:tcPr>
          <w:p>
            <w:pPr>
              <w:pStyle w:val="11"/>
            </w:pPr>
            <w:r>
              <w:t>16.92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16.92</w:t>
            </w:r>
          </w:p>
        </w:tc>
        <w:tc>
          <w:tcPr>
            <w:tcW w:w="1361" w:type="dxa"/>
            <w:vAlign w:val="center"/>
          </w:tcPr>
          <w:p>
            <w:pPr>
              <w:pStyle w:val="11"/>
            </w:pPr>
            <w:r>
              <w:t>16.92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37.93</w:t>
            </w:r>
          </w:p>
        </w:tc>
        <w:tc>
          <w:tcPr>
            <w:tcW w:w="1361" w:type="dxa"/>
            <w:vAlign w:val="center"/>
          </w:tcPr>
          <w:p>
            <w:pPr>
              <w:pStyle w:val="11"/>
            </w:pPr>
            <w:r>
              <w:t>37.93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37.93</w:t>
            </w:r>
          </w:p>
        </w:tc>
        <w:tc>
          <w:tcPr>
            <w:tcW w:w="1361" w:type="dxa"/>
            <w:vAlign w:val="center"/>
          </w:tcPr>
          <w:p>
            <w:pPr>
              <w:pStyle w:val="11"/>
            </w:pPr>
            <w:r>
              <w:t>37.93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37.93</w:t>
            </w:r>
          </w:p>
        </w:tc>
        <w:tc>
          <w:tcPr>
            <w:tcW w:w="1361" w:type="dxa"/>
            <w:vAlign w:val="center"/>
          </w:tcPr>
          <w:p>
            <w:pPr>
              <w:pStyle w:val="11"/>
            </w:pPr>
            <w:r>
              <w:t>37.93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818.29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625.97</w:t>
            </w:r>
          </w:p>
        </w:tc>
        <w:tc>
          <w:tcPr>
            <w:tcW w:w="1474" w:type="dxa"/>
            <w:vAlign w:val="center"/>
          </w:tcPr>
          <w:p>
            <w:pPr>
              <w:pStyle w:val="11"/>
            </w:pPr>
            <w:r>
              <w:t>625.97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137.47</w:t>
            </w:r>
          </w:p>
        </w:tc>
        <w:tc>
          <w:tcPr>
            <w:tcW w:w="1474" w:type="dxa"/>
            <w:vAlign w:val="center"/>
          </w:tcPr>
          <w:p>
            <w:pPr>
              <w:pStyle w:val="11"/>
            </w:pPr>
            <w:r>
              <w:t>137.47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16.92</w:t>
            </w:r>
          </w:p>
        </w:tc>
        <w:tc>
          <w:tcPr>
            <w:tcW w:w="1474" w:type="dxa"/>
            <w:vAlign w:val="center"/>
          </w:tcPr>
          <w:p>
            <w:pPr>
              <w:pStyle w:val="11"/>
            </w:pPr>
            <w:r>
              <w:t>16.92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37.93</w:t>
            </w:r>
          </w:p>
        </w:tc>
        <w:tc>
          <w:tcPr>
            <w:tcW w:w="1474" w:type="dxa"/>
            <w:vAlign w:val="center"/>
          </w:tcPr>
          <w:p>
            <w:pPr>
              <w:pStyle w:val="11"/>
            </w:pPr>
            <w:r>
              <w:t>37.93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818.29</w:t>
            </w:r>
          </w:p>
        </w:tc>
        <w:tc>
          <w:tcPr>
            <w:tcW w:w="3402" w:type="dxa"/>
            <w:vAlign w:val="center"/>
          </w:tcPr>
          <w:p>
            <w:pPr>
              <w:pStyle w:val="14"/>
            </w:pPr>
            <w:r>
              <w:t>本年支出合计</w:t>
            </w:r>
          </w:p>
        </w:tc>
        <w:tc>
          <w:tcPr>
            <w:tcW w:w="1474" w:type="dxa"/>
            <w:vAlign w:val="center"/>
          </w:tcPr>
          <w:p>
            <w:pPr>
              <w:pStyle w:val="15"/>
            </w:pPr>
            <w:r>
              <w:t>818.29</w:t>
            </w:r>
          </w:p>
        </w:tc>
        <w:tc>
          <w:tcPr>
            <w:tcW w:w="1474" w:type="dxa"/>
            <w:vAlign w:val="center"/>
          </w:tcPr>
          <w:p>
            <w:pPr>
              <w:pStyle w:val="15"/>
            </w:pPr>
            <w:r>
              <w:t>818.29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818.29</w:t>
            </w:r>
          </w:p>
        </w:tc>
        <w:tc>
          <w:tcPr>
            <w:tcW w:w="3402" w:type="dxa"/>
            <w:vAlign w:val="center"/>
          </w:tcPr>
          <w:p>
            <w:pPr>
              <w:pStyle w:val="14"/>
            </w:pPr>
            <w:r>
              <w:t>支出总计</w:t>
            </w:r>
          </w:p>
        </w:tc>
        <w:tc>
          <w:tcPr>
            <w:tcW w:w="1474" w:type="dxa"/>
            <w:vAlign w:val="center"/>
          </w:tcPr>
          <w:p>
            <w:pPr>
              <w:pStyle w:val="15"/>
            </w:pPr>
            <w:r>
              <w:t>818.29</w:t>
            </w:r>
          </w:p>
        </w:tc>
        <w:tc>
          <w:tcPr>
            <w:tcW w:w="1474" w:type="dxa"/>
            <w:vAlign w:val="center"/>
          </w:tcPr>
          <w:p>
            <w:pPr>
              <w:pStyle w:val="15"/>
            </w:pPr>
            <w:r>
              <w:t>818.29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818.29</w:t>
            </w:r>
          </w:p>
        </w:tc>
        <w:tc>
          <w:tcPr>
            <w:tcW w:w="2551" w:type="dxa"/>
            <w:vAlign w:val="center"/>
          </w:tcPr>
          <w:p>
            <w:pPr>
              <w:pStyle w:val="15"/>
            </w:pPr>
            <w:r>
              <w:t>614.29</w:t>
            </w:r>
          </w:p>
        </w:tc>
        <w:tc>
          <w:tcPr>
            <w:tcW w:w="2551" w:type="dxa"/>
            <w:vAlign w:val="center"/>
          </w:tcPr>
          <w:p>
            <w:pPr>
              <w:pStyle w:val="15"/>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625.97</w:t>
            </w:r>
          </w:p>
        </w:tc>
        <w:tc>
          <w:tcPr>
            <w:tcW w:w="2551" w:type="dxa"/>
            <w:vAlign w:val="center"/>
          </w:tcPr>
          <w:p>
            <w:pPr>
              <w:pStyle w:val="11"/>
            </w:pPr>
            <w:r>
              <w:t>421.97</w:t>
            </w:r>
          </w:p>
        </w:tc>
        <w:tc>
          <w:tcPr>
            <w:tcW w:w="2551" w:type="dxa"/>
            <w:vAlign w:val="center"/>
          </w:tcPr>
          <w:p>
            <w:pPr>
              <w:pStyle w:val="11"/>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625.97</w:t>
            </w:r>
          </w:p>
        </w:tc>
        <w:tc>
          <w:tcPr>
            <w:tcW w:w="2551" w:type="dxa"/>
            <w:vAlign w:val="center"/>
          </w:tcPr>
          <w:p>
            <w:pPr>
              <w:pStyle w:val="11"/>
            </w:pPr>
            <w:r>
              <w:t>421.97</w:t>
            </w:r>
          </w:p>
        </w:tc>
        <w:tc>
          <w:tcPr>
            <w:tcW w:w="2551" w:type="dxa"/>
            <w:vAlign w:val="center"/>
          </w:tcPr>
          <w:p>
            <w:pPr>
              <w:pStyle w:val="11"/>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243.42</w:t>
            </w:r>
          </w:p>
        </w:tc>
        <w:tc>
          <w:tcPr>
            <w:tcW w:w="2551" w:type="dxa"/>
            <w:vAlign w:val="center"/>
          </w:tcPr>
          <w:p>
            <w:pPr>
              <w:pStyle w:val="11"/>
            </w:pPr>
            <w:r>
              <w:t>243.42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73.00</w:t>
            </w:r>
          </w:p>
        </w:tc>
        <w:tc>
          <w:tcPr>
            <w:tcW w:w="2551" w:type="dxa"/>
            <w:vAlign w:val="center"/>
          </w:tcPr>
          <w:p>
            <w:pPr>
              <w:pStyle w:val="11"/>
            </w:pPr>
          </w:p>
        </w:tc>
        <w:tc>
          <w:tcPr>
            <w:tcW w:w="2551" w:type="dxa"/>
            <w:vAlign w:val="center"/>
          </w:tcPr>
          <w:p>
            <w:pPr>
              <w:pStyle w:val="11"/>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2060703</w:t>
            </w:r>
          </w:p>
        </w:tc>
        <w:tc>
          <w:tcPr>
            <w:tcW w:w="4535" w:type="dxa"/>
            <w:vAlign w:val="center"/>
          </w:tcPr>
          <w:p>
            <w:pPr>
              <w:pStyle w:val="12"/>
            </w:pPr>
            <w:r>
              <w:t>青少年科技活动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2060704</w:t>
            </w:r>
          </w:p>
        </w:tc>
        <w:tc>
          <w:tcPr>
            <w:tcW w:w="4535" w:type="dxa"/>
            <w:vAlign w:val="center"/>
          </w:tcPr>
          <w:p>
            <w:pPr>
              <w:pStyle w:val="12"/>
            </w:pPr>
            <w:r>
              <w:t>学术交流活动</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301.55</w:t>
            </w:r>
          </w:p>
        </w:tc>
        <w:tc>
          <w:tcPr>
            <w:tcW w:w="2551" w:type="dxa"/>
            <w:vAlign w:val="center"/>
          </w:tcPr>
          <w:p>
            <w:pPr>
              <w:pStyle w:val="11"/>
            </w:pPr>
            <w:r>
              <w:t>178.55</w:t>
            </w:r>
          </w:p>
        </w:tc>
        <w:tc>
          <w:tcPr>
            <w:tcW w:w="2551" w:type="dxa"/>
            <w:vAlign w:val="center"/>
          </w:tcPr>
          <w:p>
            <w:pPr>
              <w:pStyle w:val="11"/>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137.47</w:t>
            </w:r>
          </w:p>
        </w:tc>
        <w:tc>
          <w:tcPr>
            <w:tcW w:w="2551" w:type="dxa"/>
            <w:vAlign w:val="center"/>
          </w:tcPr>
          <w:p>
            <w:pPr>
              <w:pStyle w:val="11"/>
            </w:pPr>
            <w:r>
              <w:t>137.47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137.47</w:t>
            </w:r>
          </w:p>
        </w:tc>
        <w:tc>
          <w:tcPr>
            <w:tcW w:w="2551" w:type="dxa"/>
            <w:vAlign w:val="center"/>
          </w:tcPr>
          <w:p>
            <w:pPr>
              <w:pStyle w:val="11"/>
            </w:pPr>
            <w:r>
              <w:t>137.47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59.93</w:t>
            </w:r>
          </w:p>
        </w:tc>
        <w:tc>
          <w:tcPr>
            <w:tcW w:w="2551" w:type="dxa"/>
            <w:vAlign w:val="center"/>
          </w:tcPr>
          <w:p>
            <w:pPr>
              <w:pStyle w:val="11"/>
            </w:pPr>
            <w:r>
              <w:t>59.93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57.78</w:t>
            </w:r>
          </w:p>
        </w:tc>
        <w:tc>
          <w:tcPr>
            <w:tcW w:w="2551" w:type="dxa"/>
            <w:vAlign w:val="center"/>
          </w:tcPr>
          <w:p>
            <w:pPr>
              <w:pStyle w:val="11"/>
            </w:pPr>
            <w:r>
              <w:t>57.78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16.92</w:t>
            </w:r>
          </w:p>
        </w:tc>
        <w:tc>
          <w:tcPr>
            <w:tcW w:w="2551" w:type="dxa"/>
            <w:vAlign w:val="center"/>
          </w:tcPr>
          <w:p>
            <w:pPr>
              <w:pStyle w:val="11"/>
            </w:pPr>
            <w:r>
              <w:t>16.92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16.92</w:t>
            </w:r>
          </w:p>
        </w:tc>
        <w:tc>
          <w:tcPr>
            <w:tcW w:w="2551" w:type="dxa"/>
            <w:vAlign w:val="center"/>
          </w:tcPr>
          <w:p>
            <w:pPr>
              <w:pStyle w:val="11"/>
            </w:pPr>
            <w:r>
              <w:t>16.92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37.93</w:t>
            </w:r>
          </w:p>
        </w:tc>
        <w:tc>
          <w:tcPr>
            <w:tcW w:w="2551" w:type="dxa"/>
            <w:vAlign w:val="center"/>
          </w:tcPr>
          <w:p>
            <w:pPr>
              <w:pStyle w:val="11"/>
            </w:pPr>
            <w:r>
              <w:t>37.93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37.93</w:t>
            </w:r>
          </w:p>
        </w:tc>
        <w:tc>
          <w:tcPr>
            <w:tcW w:w="2551" w:type="dxa"/>
            <w:vAlign w:val="center"/>
          </w:tcPr>
          <w:p>
            <w:pPr>
              <w:pStyle w:val="11"/>
            </w:pPr>
            <w:r>
              <w:t>37.93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37.93</w:t>
            </w:r>
          </w:p>
        </w:tc>
        <w:tc>
          <w:tcPr>
            <w:tcW w:w="2551" w:type="dxa"/>
            <w:vAlign w:val="center"/>
          </w:tcPr>
          <w:p>
            <w:pPr>
              <w:pStyle w:val="11"/>
            </w:pPr>
            <w:r>
              <w:t>37.93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614.29</w:t>
            </w:r>
          </w:p>
        </w:tc>
        <w:tc>
          <w:tcPr>
            <w:tcW w:w="2551" w:type="dxa"/>
            <w:vAlign w:val="center"/>
          </w:tcPr>
          <w:p>
            <w:pPr>
              <w:pStyle w:val="15"/>
            </w:pPr>
            <w:r>
              <w:t>567.29</w:t>
            </w:r>
          </w:p>
        </w:tc>
        <w:tc>
          <w:tcPr>
            <w:tcW w:w="2552"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491.47</w:t>
            </w:r>
          </w:p>
        </w:tc>
        <w:tc>
          <w:tcPr>
            <w:tcW w:w="2551" w:type="dxa"/>
            <w:vAlign w:val="center"/>
          </w:tcPr>
          <w:p>
            <w:pPr>
              <w:pStyle w:val="11"/>
            </w:pPr>
            <w:r>
              <w:t>491.47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183.11</w:t>
            </w:r>
          </w:p>
        </w:tc>
        <w:tc>
          <w:tcPr>
            <w:tcW w:w="2551" w:type="dxa"/>
            <w:vAlign w:val="center"/>
          </w:tcPr>
          <w:p>
            <w:pPr>
              <w:pStyle w:val="11"/>
            </w:pPr>
            <w:r>
              <w:t>183.11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68.80</w:t>
            </w:r>
          </w:p>
        </w:tc>
        <w:tc>
          <w:tcPr>
            <w:tcW w:w="2551" w:type="dxa"/>
            <w:vAlign w:val="center"/>
          </w:tcPr>
          <w:p>
            <w:pPr>
              <w:pStyle w:val="11"/>
            </w:pPr>
            <w:r>
              <w:t>68.80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78.90</w:t>
            </w:r>
          </w:p>
        </w:tc>
        <w:tc>
          <w:tcPr>
            <w:tcW w:w="2551" w:type="dxa"/>
            <w:vAlign w:val="center"/>
          </w:tcPr>
          <w:p>
            <w:pPr>
              <w:pStyle w:val="11"/>
            </w:pPr>
            <w:r>
              <w:t>78.90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42.11</w:t>
            </w:r>
          </w:p>
        </w:tc>
        <w:tc>
          <w:tcPr>
            <w:tcW w:w="2551" w:type="dxa"/>
            <w:vAlign w:val="center"/>
          </w:tcPr>
          <w:p>
            <w:pPr>
              <w:pStyle w:val="11"/>
            </w:pPr>
            <w:r>
              <w:t>42.11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57.78</w:t>
            </w:r>
          </w:p>
        </w:tc>
        <w:tc>
          <w:tcPr>
            <w:tcW w:w="2551" w:type="dxa"/>
            <w:vAlign w:val="center"/>
          </w:tcPr>
          <w:p>
            <w:pPr>
              <w:pStyle w:val="11"/>
            </w:pPr>
            <w:r>
              <w:t>57.78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3.94</w:t>
            </w:r>
          </w:p>
        </w:tc>
        <w:tc>
          <w:tcPr>
            <w:tcW w:w="2551" w:type="dxa"/>
            <w:vAlign w:val="center"/>
          </w:tcPr>
          <w:p>
            <w:pPr>
              <w:pStyle w:val="11"/>
            </w:pPr>
            <w:r>
              <w:t>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16.92</w:t>
            </w:r>
          </w:p>
        </w:tc>
        <w:tc>
          <w:tcPr>
            <w:tcW w:w="2551" w:type="dxa"/>
            <w:vAlign w:val="center"/>
          </w:tcPr>
          <w:p>
            <w:pPr>
              <w:pStyle w:val="11"/>
            </w:pPr>
            <w:r>
              <w:t>16.92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1.98</w:t>
            </w:r>
          </w:p>
        </w:tc>
        <w:tc>
          <w:tcPr>
            <w:tcW w:w="2551" w:type="dxa"/>
            <w:vAlign w:val="center"/>
          </w:tcPr>
          <w:p>
            <w:pPr>
              <w:pStyle w:val="11"/>
            </w:pPr>
            <w:r>
              <w:t>1.98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37.93</w:t>
            </w:r>
          </w:p>
        </w:tc>
        <w:tc>
          <w:tcPr>
            <w:tcW w:w="2551" w:type="dxa"/>
            <w:vAlign w:val="center"/>
          </w:tcPr>
          <w:p>
            <w:pPr>
              <w:pStyle w:val="11"/>
            </w:pPr>
            <w:r>
              <w:t>37.93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47.00</w:t>
            </w:r>
          </w:p>
        </w:tc>
        <w:tc>
          <w:tcPr>
            <w:tcW w:w="2551" w:type="dxa"/>
            <w:vAlign w:val="center"/>
          </w:tcPr>
          <w:p>
            <w:pPr>
              <w:pStyle w:val="11"/>
            </w:pPr>
          </w:p>
        </w:tc>
        <w:tc>
          <w:tcPr>
            <w:tcW w:w="2552"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8.15</w:t>
            </w:r>
          </w:p>
        </w:tc>
        <w:tc>
          <w:tcPr>
            <w:tcW w:w="2551" w:type="dxa"/>
            <w:vAlign w:val="center"/>
          </w:tcPr>
          <w:p>
            <w:pPr>
              <w:pStyle w:val="11"/>
            </w:pPr>
          </w:p>
        </w:tc>
        <w:tc>
          <w:tcPr>
            <w:tcW w:w="2552" w:type="dxa"/>
            <w:vAlign w:val="center"/>
          </w:tcPr>
          <w:p>
            <w:pPr>
              <w:pStyle w:val="11"/>
            </w:pPr>
            <w:r>
              <w:t>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8.26</w:t>
            </w:r>
          </w:p>
        </w:tc>
        <w:tc>
          <w:tcPr>
            <w:tcW w:w="2551" w:type="dxa"/>
            <w:vAlign w:val="center"/>
          </w:tcPr>
          <w:p>
            <w:pPr>
              <w:pStyle w:val="11"/>
            </w:pPr>
          </w:p>
        </w:tc>
        <w:tc>
          <w:tcPr>
            <w:tcW w:w="2552" w:type="dxa"/>
            <w:vAlign w:val="center"/>
          </w:tcPr>
          <w:p>
            <w:pPr>
              <w:pStyle w:val="11"/>
            </w:pPr>
            <w:r>
              <w:t>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2.61</w:t>
            </w:r>
          </w:p>
        </w:tc>
        <w:tc>
          <w:tcPr>
            <w:tcW w:w="2551" w:type="dxa"/>
            <w:vAlign w:val="center"/>
          </w:tcPr>
          <w:p>
            <w:pPr>
              <w:pStyle w:val="11"/>
            </w:pPr>
          </w:p>
        </w:tc>
        <w:tc>
          <w:tcPr>
            <w:tcW w:w="2552"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2.76</w:t>
            </w:r>
          </w:p>
        </w:tc>
        <w:tc>
          <w:tcPr>
            <w:tcW w:w="2551" w:type="dxa"/>
            <w:vAlign w:val="center"/>
          </w:tcPr>
          <w:p>
            <w:pPr>
              <w:pStyle w:val="11"/>
            </w:pPr>
          </w:p>
        </w:tc>
        <w:tc>
          <w:tcPr>
            <w:tcW w:w="2552"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3.95</w:t>
            </w:r>
          </w:p>
        </w:tc>
        <w:tc>
          <w:tcPr>
            <w:tcW w:w="2551" w:type="dxa"/>
            <w:vAlign w:val="center"/>
          </w:tcPr>
          <w:p>
            <w:pPr>
              <w:pStyle w:val="11"/>
            </w:pPr>
          </w:p>
        </w:tc>
        <w:tc>
          <w:tcPr>
            <w:tcW w:w="2552" w:type="dxa"/>
            <w:vAlign w:val="center"/>
          </w:tcPr>
          <w:p>
            <w:pPr>
              <w:pStyle w:val="11"/>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13.47</w:t>
            </w:r>
          </w:p>
        </w:tc>
        <w:tc>
          <w:tcPr>
            <w:tcW w:w="2551" w:type="dxa"/>
            <w:vAlign w:val="center"/>
          </w:tcPr>
          <w:p>
            <w:pPr>
              <w:pStyle w:val="11"/>
            </w:pPr>
          </w:p>
        </w:tc>
        <w:tc>
          <w:tcPr>
            <w:tcW w:w="2552" w:type="dxa"/>
            <w:vAlign w:val="center"/>
          </w:tcPr>
          <w:p>
            <w:pPr>
              <w:pStyle w:val="11"/>
            </w:pPr>
            <w:r>
              <w:t>13.47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4.10</w:t>
            </w:r>
          </w:p>
        </w:tc>
        <w:tc>
          <w:tcPr>
            <w:tcW w:w="2551" w:type="dxa"/>
            <w:vAlign w:val="center"/>
          </w:tcPr>
          <w:p>
            <w:pPr>
              <w:pStyle w:val="11"/>
            </w:pPr>
          </w:p>
        </w:tc>
        <w:tc>
          <w:tcPr>
            <w:tcW w:w="2552"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75.82</w:t>
            </w:r>
          </w:p>
        </w:tc>
        <w:tc>
          <w:tcPr>
            <w:tcW w:w="2551" w:type="dxa"/>
            <w:vAlign w:val="center"/>
          </w:tcPr>
          <w:p>
            <w:pPr>
              <w:pStyle w:val="11"/>
            </w:pPr>
            <w:r>
              <w:t>75.82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4.32</w:t>
            </w:r>
          </w:p>
        </w:tc>
        <w:tc>
          <w:tcPr>
            <w:tcW w:w="2551" w:type="dxa"/>
            <w:vAlign w:val="center"/>
          </w:tcPr>
          <w:p>
            <w:pPr>
              <w:pStyle w:val="11"/>
            </w:pPr>
            <w:r>
              <w:t>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71.43</w:t>
            </w:r>
          </w:p>
        </w:tc>
        <w:tc>
          <w:tcPr>
            <w:tcW w:w="2551" w:type="dxa"/>
            <w:vAlign w:val="center"/>
          </w:tcPr>
          <w:p>
            <w:pPr>
              <w:pStyle w:val="11"/>
            </w:pPr>
            <w:r>
              <w:t>71.43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0.07</w:t>
            </w:r>
          </w:p>
        </w:tc>
        <w:tc>
          <w:tcPr>
            <w:tcW w:w="2551" w:type="dxa"/>
            <w:vAlign w:val="center"/>
          </w:tcPr>
          <w:p>
            <w:pPr>
              <w:pStyle w:val="11"/>
            </w:pPr>
            <w:r>
              <w:t>0.07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731衡水市科学技术协会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1"/>
              <w:rPr>
                <w:lang w:eastAsia="zh-CN"/>
              </w:rPr>
            </w:pPr>
            <w:r>
              <w:rPr>
                <w:rFonts w:hint="eastAsia"/>
                <w:lang w:eastAsia="zh-CN"/>
              </w:rPr>
              <w:t>1.7</w:t>
            </w:r>
          </w:p>
        </w:tc>
        <w:tc>
          <w:tcPr>
            <w:tcW w:w="2381" w:type="dxa"/>
            <w:vAlign w:val="center"/>
          </w:tcPr>
          <w:p>
            <w:pPr>
              <w:pStyle w:val="11"/>
              <w:rPr>
                <w:lang w:eastAsia="zh-CN"/>
              </w:rPr>
            </w:pPr>
            <w:r>
              <w:rPr>
                <w:rFonts w:hint="eastAsia"/>
                <w:lang w:eastAsia="zh-CN"/>
              </w:rPr>
              <w:t>1.7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rPr>
                <w:lang w:eastAsia="zh-CN"/>
              </w:rPr>
            </w:pPr>
            <w:r>
              <w:rPr>
                <w:rFonts w:hint="eastAsia"/>
                <w:lang w:eastAsia="zh-CN"/>
              </w:rPr>
              <w:t>1.5</w:t>
            </w:r>
          </w:p>
        </w:tc>
        <w:tc>
          <w:tcPr>
            <w:tcW w:w="2381" w:type="dxa"/>
            <w:vAlign w:val="center"/>
          </w:tcPr>
          <w:p>
            <w:pPr>
              <w:pStyle w:val="11"/>
              <w:rPr>
                <w:lang w:eastAsia="zh-CN"/>
              </w:rPr>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rPr>
                <w:lang w:eastAsia="zh-CN"/>
              </w:rPr>
            </w:pPr>
            <w:r>
              <w:rPr>
                <w:rFonts w:hint="eastAsia"/>
                <w:lang w:eastAsia="zh-CN"/>
              </w:rPr>
              <w:t>1.5</w:t>
            </w:r>
          </w:p>
        </w:tc>
        <w:tc>
          <w:tcPr>
            <w:tcW w:w="2381" w:type="dxa"/>
            <w:vAlign w:val="center"/>
          </w:tcPr>
          <w:p>
            <w:pPr>
              <w:pStyle w:val="11"/>
              <w:rPr>
                <w:lang w:eastAsia="zh-CN"/>
              </w:rPr>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rPr>
                <w:lang w:eastAsia="zh-CN"/>
              </w:rPr>
            </w:pPr>
            <w:r>
              <w:rPr>
                <w:rFonts w:hint="eastAsia"/>
                <w:lang w:eastAsia="zh-CN"/>
              </w:rPr>
              <w:t>0.2</w:t>
            </w:r>
          </w:p>
        </w:tc>
        <w:tc>
          <w:tcPr>
            <w:tcW w:w="2381" w:type="dxa"/>
            <w:vAlign w:val="center"/>
          </w:tcPr>
          <w:p>
            <w:pPr>
              <w:pStyle w:val="11"/>
              <w:rPr>
                <w:lang w:eastAsia="zh-CN"/>
              </w:rPr>
            </w:pPr>
            <w:r>
              <w:rPr>
                <w:rFonts w:hint="eastAsia"/>
                <w:lang w:eastAsia="zh-CN"/>
              </w:rPr>
              <w:t>0.2</w:t>
            </w:r>
          </w:p>
        </w:tc>
        <w:tc>
          <w:tcPr>
            <w:tcW w:w="2381" w:type="dxa"/>
            <w:vAlign w:val="center"/>
          </w:tcPr>
          <w:p>
            <w:pPr>
              <w:pStyle w:val="11"/>
            </w:pPr>
          </w:p>
        </w:tc>
        <w:tc>
          <w:tcPr>
            <w:tcW w:w="2381" w:type="dxa"/>
            <w:vAlign w:val="center"/>
          </w:tcPr>
          <w:p>
            <w:pPr>
              <w:pStyle w:val="11"/>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衡水市科学技术协会2023年部门预算信息公开情况说明</w:t>
      </w:r>
    </w:p>
    <w:p>
      <w:pPr>
        <w:jc w:val="center"/>
      </w:pPr>
      <w:r>
        <w:rPr>
          <w:rFonts w:ascii="方正小标宋_GBK" w:hAnsi="方正小标宋_GBK" w:eastAsia="方正小标宋_GBK" w:cs="方正小标宋_GBK"/>
          <w:color w:val="000000"/>
          <w:sz w:val="44"/>
        </w:rPr>
        <w:t>衡水市科学技术协会2023年部门预算信息公开情况说明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、《地方预决算公开操作规程》和《关于进一步推进预算公开工作的实施意见》规定，现将衡水市科学技术协会2023年部门预算公开如下：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(一)组织全市科技工作者投身于全市经济建设，开展学术交流，表彰奖励优秀科技工作者，举荐人才，反映科技工作者的意见和要求，维护科技工作者的合法权益, 为科技团体和科技工作者服务。</w:t>
      </w:r>
    </w:p>
    <w:p>
      <w:pPr>
        <w:pStyle w:val="17"/>
      </w:pPr>
      <w:r>
        <w:t>(二)开展国际民间科学技术交流活动和友好往来。对所属市级学会进行管理，对县市区科协进行业务指导。</w:t>
      </w:r>
    </w:p>
    <w:p>
      <w:pPr>
        <w:pStyle w:val="17"/>
      </w:pPr>
      <w:r>
        <w:t>(三)普及科技知识，推广先进技术，开展青少年科技教育活动。开展继续教育和技术培训，推广科技成果，促进科技成果向生产力转化。</w:t>
      </w:r>
    </w:p>
    <w:p>
      <w:pPr>
        <w:pStyle w:val="17"/>
      </w:pPr>
      <w:r>
        <w:t>(四)承担市委、市政府交办的有关事项。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衡水市科学技术协会本级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衡水市科技工作者服务中心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衡水市科普宣传教育中心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部门预算的编制实行综合预算管理，即全部收入和支出都反映在预算中。衡水市科学技术协会机关及所属事业单位的收支包含在部门预算中。</w:t>
      </w:r>
    </w:p>
    <w:p>
      <w:pPr>
        <w:pStyle w:val="18"/>
        <w:rPr>
          <w:rFonts w:ascii="方正仿宋_GBK"/>
        </w:rPr>
      </w:pPr>
      <w:r>
        <w:rPr>
          <w:rFonts w:hint="eastAsia" w:ascii="方正仿宋_GBK"/>
        </w:rPr>
        <w:t>1、收入说明</w:t>
      </w:r>
    </w:p>
    <w:p>
      <w:pPr>
        <w:pStyle w:val="18"/>
        <w:rPr>
          <w:rFonts w:ascii="方正仿宋_GBK"/>
        </w:rPr>
      </w:pPr>
      <w:r>
        <w:rPr>
          <w:rFonts w:hint="eastAsia" w:ascii="方正仿宋_GBK"/>
        </w:rPr>
        <w:t>反映本部门当年全部收入。202</w:t>
      </w:r>
      <w:r>
        <w:rPr>
          <w:rFonts w:hint="eastAsia" w:ascii="方正仿宋_GBK"/>
          <w:lang w:eastAsia="zh-CN"/>
        </w:rPr>
        <w:t>3</w:t>
      </w:r>
      <w:r>
        <w:rPr>
          <w:rFonts w:hint="eastAsia" w:ascii="方正仿宋_GBK"/>
        </w:rPr>
        <w:t>年预算收入</w:t>
      </w:r>
      <w:r>
        <w:rPr>
          <w:rFonts w:hint="eastAsia" w:ascii="方正仿宋_GBK"/>
          <w:lang w:eastAsia="zh-CN"/>
        </w:rPr>
        <w:t>818.29</w:t>
      </w:r>
      <w:r>
        <w:rPr>
          <w:rFonts w:hint="eastAsia" w:ascii="方正仿宋_GBK"/>
        </w:rPr>
        <w:t>万元，其中：一般公共预算收入</w:t>
      </w:r>
      <w:r>
        <w:rPr>
          <w:rFonts w:hint="eastAsia" w:ascii="方正仿宋_GBK"/>
          <w:lang w:eastAsia="zh-CN"/>
        </w:rPr>
        <w:t>818.29</w:t>
      </w:r>
      <w:r>
        <w:rPr>
          <w:rFonts w:hint="eastAsia" w:ascii="方正仿宋_GBK"/>
        </w:rPr>
        <w:t>万元，基金预算收入0万元，国有资本经营预算收入0万元，财政专户核拨收入0万元，单位资金收入</w:t>
      </w:r>
      <w:r>
        <w:rPr>
          <w:rFonts w:hint="eastAsia" w:ascii="方正仿宋_GBK"/>
          <w:lang w:eastAsia="zh-CN"/>
        </w:rPr>
        <w:t>0</w:t>
      </w:r>
      <w:r>
        <w:rPr>
          <w:rFonts w:hint="eastAsia" w:ascii="方正仿宋_GBK"/>
        </w:rPr>
        <w:t>万元，上年结转结余</w:t>
      </w:r>
      <w:r>
        <w:rPr>
          <w:rFonts w:hint="eastAsia" w:ascii="方正仿宋_GBK"/>
          <w:lang w:eastAsia="zh-CN"/>
        </w:rPr>
        <w:t>0</w:t>
      </w:r>
      <w:r>
        <w:rPr>
          <w:rFonts w:hint="eastAsia" w:ascii="方正仿宋_GBK"/>
        </w:rPr>
        <w:t>万元。</w:t>
      </w:r>
    </w:p>
    <w:p>
      <w:pPr>
        <w:pStyle w:val="18"/>
        <w:rPr>
          <w:rFonts w:ascii="方正仿宋_GBK"/>
        </w:rPr>
      </w:pPr>
      <w:r>
        <w:rPr>
          <w:rFonts w:hint="eastAsia" w:ascii="方正仿宋_GBK"/>
        </w:rPr>
        <w:t>2、支出说明</w:t>
      </w:r>
    </w:p>
    <w:p>
      <w:pPr>
        <w:pStyle w:val="18"/>
        <w:rPr>
          <w:rFonts w:ascii="方正仿宋_GBK"/>
        </w:rPr>
      </w:pPr>
      <w:r>
        <w:rPr>
          <w:rFonts w:hint="eastAsia" w:ascii="方正仿宋_GBK"/>
        </w:rPr>
        <w:t>收支预算总表支出栏、基本支出表、项目支出表按经济分类和支出功能分类科目编制，反映</w:t>
      </w:r>
      <w:r>
        <w:rPr>
          <w:rFonts w:hint="eastAsia" w:ascii="方正仿宋_GBK"/>
          <w:lang w:eastAsia="zh-CN"/>
        </w:rPr>
        <w:t>衡水市</w:t>
      </w:r>
      <w:r>
        <w:rPr>
          <w:rFonts w:hint="eastAsia" w:ascii="方正仿宋_GBK"/>
        </w:rPr>
        <w:t>科学技术协会年度部门预算中支出预算的总体情况。202</w:t>
      </w:r>
      <w:r>
        <w:rPr>
          <w:rFonts w:hint="eastAsia" w:ascii="方正仿宋_GBK"/>
          <w:lang w:eastAsia="zh-CN"/>
        </w:rPr>
        <w:t>3</w:t>
      </w:r>
      <w:r>
        <w:rPr>
          <w:rFonts w:hint="eastAsia" w:ascii="方正仿宋_GBK"/>
        </w:rPr>
        <w:t>年支出预算</w:t>
      </w:r>
      <w:r>
        <w:rPr>
          <w:rFonts w:hint="eastAsia" w:ascii="方正仿宋_GBK"/>
          <w:lang w:eastAsia="zh-CN"/>
        </w:rPr>
        <w:t>818.29</w:t>
      </w:r>
      <w:r>
        <w:rPr>
          <w:rFonts w:hint="eastAsia" w:ascii="方正仿宋_GBK"/>
        </w:rPr>
        <w:t>万元，其中基本支出</w:t>
      </w:r>
      <w:r>
        <w:rPr>
          <w:rFonts w:hint="eastAsia" w:ascii="方正仿宋_GBK"/>
          <w:lang w:eastAsia="zh-CN"/>
        </w:rPr>
        <w:t>614.29</w:t>
      </w:r>
      <w:r>
        <w:rPr>
          <w:rFonts w:hint="eastAsia" w:ascii="方正仿宋_GBK"/>
        </w:rPr>
        <w:t>万元，包括人员经费</w:t>
      </w:r>
      <w:r>
        <w:rPr>
          <w:rFonts w:hint="eastAsia" w:ascii="方正仿宋_GBK"/>
          <w:lang w:eastAsia="zh-CN"/>
        </w:rPr>
        <w:t>567.29</w:t>
      </w:r>
      <w:r>
        <w:rPr>
          <w:rFonts w:hint="eastAsia" w:ascii="方正仿宋_GBK"/>
        </w:rPr>
        <w:t>万元和日常公用经费</w:t>
      </w:r>
      <w:r>
        <w:rPr>
          <w:rFonts w:hint="eastAsia" w:ascii="方正仿宋_GBK"/>
          <w:lang w:eastAsia="zh-CN"/>
        </w:rPr>
        <w:t>47</w:t>
      </w:r>
      <w:r>
        <w:rPr>
          <w:rFonts w:hint="eastAsia" w:ascii="方正仿宋_GBK"/>
        </w:rPr>
        <w:t>万元；项目支出</w:t>
      </w:r>
      <w:r>
        <w:rPr>
          <w:rFonts w:hint="eastAsia" w:ascii="方正仿宋_GBK"/>
          <w:lang w:eastAsia="zh-CN"/>
        </w:rPr>
        <w:t>204</w:t>
      </w:r>
      <w:r>
        <w:rPr>
          <w:rFonts w:hint="eastAsia" w:ascii="方正仿宋_GBK"/>
        </w:rPr>
        <w:t>万元，主要为</w:t>
      </w:r>
      <w:r>
        <w:rPr>
          <w:rFonts w:hint="eastAsia" w:ascii="方正仿宋_GBK"/>
          <w:lang w:eastAsia="zh-CN"/>
        </w:rPr>
        <w:t>其他科学技术普及123万元，青少年科技活动5万元，学术活动3万元，科普活动73万元</w:t>
      </w:r>
      <w:r>
        <w:rPr>
          <w:rFonts w:hint="eastAsia" w:ascii="方正仿宋_GBK"/>
        </w:rPr>
        <w:t>。</w:t>
      </w:r>
    </w:p>
    <w:p>
      <w:pPr>
        <w:pStyle w:val="18"/>
        <w:rPr>
          <w:rFonts w:ascii="方正仿宋_GBK"/>
        </w:rPr>
      </w:pPr>
      <w:r>
        <w:rPr>
          <w:rFonts w:hint="eastAsia" w:ascii="方正仿宋_GBK"/>
        </w:rPr>
        <w:t>3、比上年增减情况</w:t>
      </w:r>
    </w:p>
    <w:p>
      <w:pPr>
        <w:pStyle w:val="18"/>
        <w:rPr>
          <w:rFonts w:ascii="方正仿宋_GBK" w:hAnsi="仿宋_GB2312" w:cs="仿宋_GB2312"/>
          <w:lang w:eastAsia="zh-CN"/>
        </w:rPr>
      </w:pPr>
      <w:r>
        <w:rPr>
          <w:rFonts w:hint="eastAsia" w:ascii="方正仿宋_GBK"/>
        </w:rPr>
        <w:t>202</w:t>
      </w:r>
      <w:r>
        <w:rPr>
          <w:rFonts w:hint="default" w:ascii="方正仿宋_GBK"/>
          <w:lang w:val="en"/>
        </w:rPr>
        <w:t>3</w:t>
      </w:r>
      <w:r>
        <w:rPr>
          <w:rFonts w:hint="eastAsia" w:ascii="方正仿宋_GBK"/>
        </w:rPr>
        <w:t>年预算收支安排</w:t>
      </w:r>
      <w:r>
        <w:rPr>
          <w:rFonts w:hint="eastAsia" w:ascii="方正仿宋_GBK"/>
          <w:lang w:eastAsia="zh-CN"/>
        </w:rPr>
        <w:t>818.29</w:t>
      </w:r>
      <w:r>
        <w:rPr>
          <w:rFonts w:hint="eastAsia" w:ascii="方正仿宋_GBK"/>
        </w:rPr>
        <w:t>万元，较202</w:t>
      </w:r>
      <w:r>
        <w:rPr>
          <w:rFonts w:hint="eastAsia" w:ascii="方正仿宋_GBK"/>
          <w:lang w:eastAsia="zh-CN"/>
        </w:rPr>
        <w:t>2</w:t>
      </w:r>
      <w:r>
        <w:rPr>
          <w:rFonts w:hint="eastAsia" w:ascii="方正仿宋_GBK" w:hAnsi="仿宋_GB2312" w:cs="仿宋_GB2312"/>
        </w:rPr>
        <w:t>年预算增加</w:t>
      </w:r>
      <w:r>
        <w:rPr>
          <w:rFonts w:hint="eastAsia" w:ascii="方正仿宋_GBK" w:hAnsi="仿宋_GB2312" w:cs="仿宋_GB2312"/>
          <w:lang w:eastAsia="zh-CN"/>
        </w:rPr>
        <w:t>26.17</w:t>
      </w:r>
      <w:r>
        <w:rPr>
          <w:rFonts w:hint="eastAsia" w:ascii="方正仿宋_GBK" w:hAnsi="仿宋_GB2312" w:cs="仿宋_GB2312"/>
        </w:rPr>
        <w:t>万元，其中：基本支出增加</w:t>
      </w:r>
      <w:r>
        <w:rPr>
          <w:rFonts w:hint="eastAsia" w:ascii="方正仿宋_GBK" w:hAnsi="仿宋_GB2312" w:cs="仿宋_GB2312"/>
          <w:lang w:eastAsia="zh-CN"/>
        </w:rPr>
        <w:t>26.27</w:t>
      </w:r>
      <w:r>
        <w:rPr>
          <w:rFonts w:hint="eastAsia" w:ascii="方正仿宋_GBK" w:hAnsi="仿宋_GB2312" w:cs="仿宋_GB2312"/>
        </w:rPr>
        <w:t>万元，主要为增加人员经费支出；项目支出</w:t>
      </w:r>
      <w:r>
        <w:rPr>
          <w:rFonts w:hint="eastAsia" w:ascii="方正仿宋_GBK" w:hAnsi="仿宋_GB2312" w:cs="仿宋_GB2312"/>
          <w:lang w:eastAsia="zh-CN"/>
        </w:rPr>
        <w:t>减少0.1</w:t>
      </w:r>
      <w:r>
        <w:rPr>
          <w:rFonts w:hint="eastAsia" w:ascii="方正仿宋_GBK" w:hAnsi="仿宋_GB2312" w:cs="仿宋_GB2312"/>
        </w:rPr>
        <w:t>万元</w:t>
      </w:r>
      <w:r>
        <w:rPr>
          <w:rFonts w:hint="eastAsia" w:ascii="方正仿宋_GBK" w:hAnsi="仿宋_GB2312" w:cs="仿宋_GB2312"/>
          <w:lang w:eastAsia="zh-CN"/>
        </w:rPr>
        <w:t>，主要为2023年无办公设备购置。</w:t>
      </w:r>
    </w:p>
    <w:p>
      <w:pPr>
        <w:pStyle w:val="18"/>
        <w:rPr>
          <w:rFonts w:ascii="方正仿宋_GBK" w:hAnsi="仿宋_GB2312" w:cs="仿宋_GB2312"/>
          <w:lang w:eastAsia="zh-CN"/>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ascii="方正仿宋_GBK"/>
          <w:lang w:eastAsia="zh-CN"/>
        </w:rPr>
      </w:pPr>
      <w:r>
        <w:rPr>
          <w:rFonts w:hint="eastAsia" w:ascii="方正仿宋_GBK"/>
        </w:rPr>
        <w:t>202</w:t>
      </w:r>
      <w:r>
        <w:rPr>
          <w:rFonts w:hint="eastAsia" w:ascii="方正仿宋_GBK"/>
          <w:lang w:eastAsia="zh-CN"/>
        </w:rPr>
        <w:t>3</w:t>
      </w:r>
      <w:r>
        <w:rPr>
          <w:rFonts w:hint="eastAsia" w:ascii="方正仿宋_GBK"/>
        </w:rPr>
        <w:t>年，我部门运行经费安排</w:t>
      </w:r>
      <w:r>
        <w:rPr>
          <w:rFonts w:hint="eastAsia" w:ascii="方正仿宋_GBK"/>
          <w:lang w:eastAsia="zh-CN"/>
        </w:rPr>
        <w:t>47</w:t>
      </w:r>
      <w:r>
        <w:rPr>
          <w:rFonts w:hint="eastAsia" w:ascii="方正仿宋_GBK"/>
        </w:rPr>
        <w:t>万元，主要用于日常维修、办公用房水电费、办公用房取暖费等日常运行支出。</w:t>
      </w:r>
    </w:p>
    <w:p>
      <w:pPr>
        <w:pStyle w:val="19"/>
        <w:rPr>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ascii="黑体" w:hAnsi="黑体" w:eastAsia="黑体" w:cs="黑体"/>
          <w:color w:val="000000"/>
          <w:sz w:val="32"/>
          <w:lang w:eastAsia="zh-CN"/>
        </w:rPr>
      </w:pPr>
      <w:r>
        <w:t>202</w:t>
      </w:r>
      <w:r>
        <w:rPr>
          <w:rFonts w:hint="eastAsia"/>
          <w:lang w:eastAsia="zh-CN"/>
        </w:rPr>
        <w:t>3</w:t>
      </w:r>
      <w:r>
        <w:t>年，我部门财政拨款</w:t>
      </w:r>
      <w:r>
        <w:rPr>
          <w:rFonts w:hint="eastAsia"/>
          <w:lang w:eastAsia="zh-CN"/>
        </w:rPr>
        <w:t>“三公”</w:t>
      </w:r>
      <w:r>
        <w:t>经费预算安排</w:t>
      </w:r>
      <w:r>
        <w:rPr>
          <w:rFonts w:hint="eastAsia"/>
          <w:lang w:eastAsia="zh-CN"/>
        </w:rPr>
        <w:t>1.7</w:t>
      </w:r>
      <w:r>
        <w:t>万元</w:t>
      </w:r>
      <w:r>
        <w:rPr>
          <w:rFonts w:hint="eastAsia"/>
          <w:lang w:eastAsia="zh-CN"/>
        </w:rPr>
        <w:t>，比</w:t>
      </w:r>
      <w:r>
        <w:rPr>
          <w:rFonts w:hint="eastAsia"/>
          <w:lang w:val="en-US" w:eastAsia="zh-CN"/>
        </w:rPr>
        <w:t>2022年减少0.1万元</w:t>
      </w:r>
      <w:r>
        <w:rPr>
          <w:rFonts w:hint="eastAsia"/>
          <w:lang w:eastAsia="zh-CN"/>
        </w:rPr>
        <w:t>。</w:t>
      </w:r>
      <w:r>
        <w:t>其中</w:t>
      </w:r>
      <w:r>
        <w:rPr>
          <w:rFonts w:hint="eastAsia"/>
          <w:lang w:eastAsia="zh-CN"/>
        </w:rPr>
        <w:t>，</w:t>
      </w:r>
      <w:r>
        <w:t>因公出国（境）费</w:t>
      </w:r>
      <w:r>
        <w:rPr>
          <w:rFonts w:hint="eastAsia"/>
          <w:lang w:eastAsia="zh-CN"/>
        </w:rPr>
        <w:t>0</w:t>
      </w:r>
      <w:r>
        <w:t>万元</w:t>
      </w:r>
      <w:r>
        <w:rPr>
          <w:rFonts w:hint="eastAsia"/>
          <w:lang w:eastAsia="zh-CN"/>
        </w:rPr>
        <w:t>，与2022年相比持平，无增减变化</w:t>
      </w:r>
      <w:r>
        <w:t>；公务用车购置及运维费</w:t>
      </w:r>
      <w:r>
        <w:rPr>
          <w:rFonts w:hint="eastAsia"/>
          <w:lang w:eastAsia="zh-CN"/>
        </w:rPr>
        <w:t>1</w:t>
      </w:r>
      <w:r>
        <w:t>.5万元（其中：公务用车购置费为0万元，公务用车运维费</w:t>
      </w:r>
      <w:r>
        <w:rPr>
          <w:rFonts w:hint="eastAsia"/>
          <w:lang w:eastAsia="zh-CN"/>
        </w:rPr>
        <w:t>1</w:t>
      </w:r>
      <w:r>
        <w:t>.50万元)</w:t>
      </w:r>
      <w:r>
        <w:rPr>
          <w:rFonts w:hint="eastAsia"/>
          <w:lang w:eastAsia="zh-CN"/>
        </w:rPr>
        <w:t>，与2022年相比持平，无增减变化</w:t>
      </w:r>
      <w:r>
        <w:t>；公务接待费</w:t>
      </w:r>
      <w:r>
        <w:rPr>
          <w:rFonts w:hint="eastAsia"/>
          <w:lang w:eastAsia="zh-CN"/>
        </w:rPr>
        <w:t>0.2</w:t>
      </w:r>
      <w:r>
        <w:t>万</w:t>
      </w:r>
      <w:r>
        <w:rPr>
          <w:rFonts w:hint="eastAsia"/>
          <w:lang w:eastAsia="zh-CN"/>
        </w:rPr>
        <w:t>元，</w:t>
      </w:r>
      <w:r>
        <w:t>与202</w:t>
      </w:r>
      <w:r>
        <w:rPr>
          <w:rFonts w:hint="eastAsia"/>
          <w:lang w:eastAsia="zh-CN"/>
        </w:rPr>
        <w:t>2</w:t>
      </w:r>
      <w:r>
        <w:t>年相比减少</w:t>
      </w:r>
      <w:r>
        <w:rPr>
          <w:rFonts w:hint="eastAsia"/>
          <w:lang w:eastAsia="zh-CN"/>
        </w:rPr>
        <w:t>0.1</w:t>
      </w:r>
      <w:r>
        <w:t>万元，减少的主要原因是：我部门严格执行八项规定，进一步压减公务接待费。</w:t>
      </w:r>
    </w:p>
    <w:p>
      <w:pPr>
        <w:pStyle w:val="20"/>
        <w:rPr>
          <w:rFonts w:ascii="黑体" w:hAnsi="黑体" w:eastAsia="黑体" w:cs="黑体"/>
          <w:color w:val="000000"/>
          <w:sz w:val="32"/>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指导，按照科协职责定位,坚持为科技工作者服务，为创新驱动发展服务，为提高全民科学素质服务，为党和政府科学决策服务。牢固树立大科普理念，创造性落实新时代党的科学技术普及工作方针，深化科协系统改革协调推进。紧紧围绕经济发展方式转变，着力推动创新驱动发展。大力普及科学技术知识、弘扬科学精神、传播科学思想、倡导科学方法，全面提升全民科学素质。加强学术交流，努力提升学会自主创新能力。</w:t>
      </w:r>
    </w:p>
    <w:p>
      <w:pPr>
        <w:spacing w:line="500" w:lineRule="exact"/>
        <w:ind w:firstLine="560"/>
      </w:pPr>
      <w:r>
        <w:rPr>
          <w:rFonts w:eastAsia="方正仿宋_GBK"/>
          <w:color w:val="000000"/>
          <w:sz w:val="28"/>
        </w:rPr>
        <w:t>（二）分项绩效目标</w:t>
      </w:r>
    </w:p>
    <w:p>
      <w:pPr>
        <w:pStyle w:val="22"/>
        <w:rPr>
          <w:lang w:eastAsia="zh-CN"/>
        </w:rPr>
      </w:pPr>
      <w:r>
        <w:rPr>
          <w:rFonts w:hint="eastAsia"/>
          <w:lang w:eastAsia="zh-CN"/>
        </w:rPr>
        <w:t>1.</w:t>
      </w:r>
      <w:r>
        <w:t>科学技术普及能力整体增强</w:t>
      </w:r>
    </w:p>
    <w:p>
      <w:pPr>
        <w:pStyle w:val="22"/>
        <w:rPr>
          <w:lang w:eastAsia="zh-CN"/>
        </w:rPr>
      </w:pPr>
      <w:r>
        <w:t>绩效目标：加快科普设施建设，开展丰富多彩的科普活动，提升科普能力，开展多种形式的科普宣传工作。</w:t>
      </w:r>
    </w:p>
    <w:p>
      <w:pPr>
        <w:pStyle w:val="22"/>
      </w:pPr>
      <w:r>
        <w:t>绩效指标：开展全国科普日、科技周、减灾日、科普知识进社区进校园、科技下乡等系列活动不少于12个，惠及人员不少于10万；建设科普画廊2座、科普e站、科普工作者之家3个，在电视台、报纸开办科普栏目2个、科普网站1个、微信公众号1个，发放科普资料3万份，支持市献技县级科普场馆建设，多种形式加大科普宣传。</w:t>
      </w:r>
    </w:p>
    <w:p>
      <w:pPr>
        <w:pStyle w:val="22"/>
        <w:rPr>
          <w:lang w:eastAsia="zh-CN"/>
        </w:rPr>
      </w:pPr>
      <w:r>
        <w:rPr>
          <w:rFonts w:hint="eastAsia"/>
          <w:lang w:eastAsia="zh-CN"/>
        </w:rPr>
        <w:t>2.</w:t>
      </w:r>
      <w:r>
        <w:t>全民科学素质进一步增强</w:t>
      </w:r>
    </w:p>
    <w:p>
      <w:pPr>
        <w:pStyle w:val="22"/>
        <w:rPr>
          <w:lang w:eastAsia="zh-CN"/>
        </w:rPr>
      </w:pPr>
      <w:r>
        <w:t>绩效目标：通过组织开展发放科普宣传资料、科普知识培训等多种科普活动，在全社会进一步营造"人人都是科普之人、处处都是科普之所"的良好氛围，激发公民学科学、爱科学、用科学热情，提高公民科学素质水平。</w:t>
      </w:r>
    </w:p>
    <w:p>
      <w:pPr>
        <w:pStyle w:val="22"/>
      </w:pPr>
      <w:r>
        <w:t>绩效指标：印刷并发放多种科普知识宣传手册10万册左右，组织“百场科普讲座进社区、进校园”活动，提高公民科学素质水平。</w:t>
      </w:r>
    </w:p>
    <w:p>
      <w:pPr>
        <w:pStyle w:val="22"/>
        <w:rPr>
          <w:lang w:eastAsia="zh-CN"/>
        </w:rPr>
      </w:pPr>
      <w:r>
        <w:rPr>
          <w:rFonts w:hint="eastAsia"/>
          <w:lang w:eastAsia="zh-CN"/>
        </w:rPr>
        <w:t>3.</w:t>
      </w:r>
      <w:r>
        <w:t>加强学术交流，努力提升学会自主创新能力</w:t>
      </w:r>
    </w:p>
    <w:p>
      <w:pPr>
        <w:pStyle w:val="22"/>
        <w:rPr>
          <w:lang w:eastAsia="zh-CN"/>
        </w:rPr>
      </w:pPr>
      <w:r>
        <w:t>绩效目标：积极开展科技交流，促进衡水经济建设；指导市级学会、协会开展好专题学术研讨活动；围绕京津冀协同发展，加强省市县三级科协联合开展工作力度，积极组织科技人才进企业、进乡村活动。</w:t>
      </w:r>
    </w:p>
    <w:p>
      <w:pPr>
        <w:pStyle w:val="22"/>
      </w:pPr>
      <w:r>
        <w:t>绩效指标：继续主办、承办或支持学会开展综合性学术交流活动不少于6次；鼓励和支持学会参加和承办省级或国家级重要学术交流活动；组织专家、学者围绕热点、难点问题，开展高层次多学科的研讨活动，并提出科学合理的意见建议，为领导科学决策提供科技支撑。</w:t>
      </w:r>
    </w:p>
    <w:p>
      <w:pPr>
        <w:pStyle w:val="22"/>
        <w:rPr>
          <w:lang w:eastAsia="zh-CN"/>
        </w:rPr>
      </w:pPr>
      <w:r>
        <w:rPr>
          <w:rFonts w:hint="eastAsia"/>
          <w:lang w:eastAsia="zh-CN"/>
        </w:rPr>
        <w:t>4.</w:t>
      </w:r>
      <w:r>
        <w:t>青少年科技素质、创新能力进一步加强</w:t>
      </w:r>
    </w:p>
    <w:p>
      <w:pPr>
        <w:pStyle w:val="22"/>
        <w:rPr>
          <w:lang w:eastAsia="zh-CN"/>
        </w:rPr>
      </w:pPr>
      <w:r>
        <w:t>绩效目标：给青少年施展才华、交流科技提供一个科普活动平台，培养青少年的创新精神和实践能力，提高青少年的科技素质。</w:t>
      </w:r>
    </w:p>
    <w:p>
      <w:pPr>
        <w:pStyle w:val="22"/>
      </w:pPr>
      <w:r>
        <w:t>绩效指标：组织参加省市青少年科技创新大赛，参加人数不低于2500人；组织青少年机器人大赛，参赛队伍不少于30支；建设青少年活动场所，丰富衡水青少年科技活动。</w:t>
      </w:r>
    </w:p>
    <w:p>
      <w:pPr>
        <w:pStyle w:val="22"/>
        <w:rPr>
          <w:lang w:eastAsia="zh-CN"/>
        </w:rPr>
      </w:pPr>
      <w:r>
        <w:rPr>
          <w:rFonts w:hint="eastAsia"/>
          <w:lang w:eastAsia="zh-CN"/>
        </w:rPr>
        <w:t>5.</w:t>
      </w:r>
      <w:r>
        <w:t>加强综合业务管理和机关综合管理。</w:t>
      </w:r>
    </w:p>
    <w:p>
      <w:pPr>
        <w:pStyle w:val="22"/>
        <w:rPr>
          <w:lang w:eastAsia="zh-CN"/>
        </w:rPr>
      </w:pPr>
      <w:r>
        <w:t>绩效目标：确保各项业务工作谋划到位、顺利开展。保障机关工作正常运转。开展专题调研，制定科学普及发展规划、政策，为基层科协组织和科技工作者提供服务，保障机关网站运行、科普项目管理、机关建设等各项工作开展。</w:t>
      </w:r>
    </w:p>
    <w:p>
      <w:pPr>
        <w:pStyle w:val="22"/>
      </w:pPr>
      <w:r>
        <w:t>绩效指标：机关网络正常、安全运行，办公设施购置、维修，内部刊物印刷，物业管理以及下乡人员后勤保障等相关工作。保障机关工作正常高效运转。</w:t>
      </w:r>
    </w:p>
    <w:p>
      <w:pPr>
        <w:spacing w:line="500" w:lineRule="exact"/>
        <w:ind w:firstLine="560"/>
      </w:pPr>
      <w:r>
        <w:rPr>
          <w:rFonts w:eastAsia="方正仿宋_GBK"/>
          <w:color w:val="000000"/>
          <w:sz w:val="28"/>
        </w:rPr>
        <w:t>（三）工作保障措施</w:t>
      </w:r>
    </w:p>
    <w:p>
      <w:pPr>
        <w:pStyle w:val="23"/>
      </w:pPr>
      <w:r>
        <w:rPr>
          <w:rFonts w:hint="eastAsia"/>
          <w:lang w:eastAsia="zh-CN"/>
        </w:rPr>
        <w:t>1.</w:t>
      </w:r>
      <w:r>
        <w:t>加强组织领导。将事前评估、目标管理、运行监控、绩效评价、结果应用等各项改革措施，有效融入预算管理的全过程环节，建立健全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pStyle w:val="23"/>
      </w:pPr>
      <w:r>
        <w:rPr>
          <w:rFonts w:hint="eastAsia"/>
          <w:lang w:eastAsia="zh-CN"/>
        </w:rPr>
        <w:t>2.</w:t>
      </w:r>
      <w:r>
        <w:t>狠抓任务落实。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rPr>
          <w:lang w:eastAsia="zh-CN"/>
        </w:rPr>
      </w:pPr>
      <w:r>
        <w:rPr>
          <w:rFonts w:hint="eastAsia"/>
          <w:lang w:eastAsia="zh-CN"/>
        </w:rPr>
        <w:t>3.</w:t>
      </w:r>
      <w:r>
        <w:t>强化预算执行。强化财政预算执行的刚性约束，及时启动项目和支付资金，加快履行政府采购程序，优化部门预算支出结构，合理改进支出方式，确保按照时间节点完成支出任务。规范财政资金使用和管理，强化内部控制制度建设，更好地发挥财政资金的使用效益。</w:t>
      </w:r>
    </w:p>
    <w:p>
      <w:pPr>
        <w:pStyle w:val="23"/>
        <w:rPr>
          <w:lang w:eastAsia="zh-CN"/>
        </w:rPr>
      </w:pPr>
    </w:p>
    <w:p>
      <w:pPr>
        <w:pStyle w:val="23"/>
        <w:rPr>
          <w:lang w:eastAsia="zh-CN"/>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r>
        <w:rPr>
          <w:rFonts w:hint="eastAsia" w:ascii="方正仿宋_GBK" w:hAnsi="方正楷体_GBK" w:eastAsia="方正仿宋_GBK" w:cs="方正楷体_GBK"/>
          <w:color w:val="000000"/>
          <w:sz w:val="28"/>
          <w:lang w:eastAsia="zh-CN"/>
        </w:rPr>
        <w:t>无</w:t>
      </w:r>
    </w:p>
    <w:p>
      <w:pPr>
        <w:rPr>
          <w:rFonts w:eastAsiaTheme="minorEastAsia"/>
          <w:sz w:val="22"/>
          <w:lang w:eastAsia="zh-CN"/>
        </w:rPr>
        <w:sectPr>
          <w:pgSz w:w="16840" w:h="11900" w:orient="landscape"/>
          <w:pgMar w:top="1361" w:right="1020" w:bottom="1361" w:left="1020" w:header="720" w:footer="720" w:gutter="0"/>
          <w:cols w:space="720" w:num="1"/>
        </w:sectPr>
      </w:pPr>
    </w:p>
    <w:p>
      <w:pPr>
        <w:ind w:firstLine="640"/>
        <w:rPr>
          <w:rFonts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1、基层科普行动计划中央资金绩效目标表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1.奖励基层科普工作中作出贡献的科普集体和个人，提高科普能力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奖励基层科普集体和科普带头人</w:t>
            </w:r>
          </w:p>
        </w:tc>
        <w:tc>
          <w:tcPr>
            <w:tcW w:w="2835" w:type="dxa"/>
            <w:vAlign w:val="center"/>
          </w:tcPr>
          <w:p>
            <w:pPr>
              <w:pStyle w:val="12"/>
            </w:pPr>
            <w:r>
              <w:t>反映奖励基层科普集体和科普带头人数量</w:t>
            </w:r>
          </w:p>
        </w:tc>
        <w:tc>
          <w:tcPr>
            <w:tcW w:w="2551" w:type="dxa"/>
            <w:vAlign w:val="center"/>
          </w:tcPr>
          <w:p>
            <w:pPr>
              <w:pStyle w:val="12"/>
            </w:pPr>
            <w:r>
              <w:t>≥10个</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资金及时拨付率</w:t>
            </w:r>
          </w:p>
        </w:tc>
        <w:tc>
          <w:tcPr>
            <w:tcW w:w="2835" w:type="dxa"/>
            <w:vAlign w:val="center"/>
          </w:tcPr>
          <w:p>
            <w:pPr>
              <w:pStyle w:val="12"/>
            </w:pPr>
            <w:r>
              <w:t>及时拨付资金占资金总数的%</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2835" w:type="dxa"/>
            <w:vAlign w:val="center"/>
          </w:tcPr>
          <w:p>
            <w:pPr>
              <w:pStyle w:val="12"/>
            </w:pPr>
            <w:r>
              <w:t>工作完成情况站计划完成情况的比率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≤111万元</w:t>
            </w:r>
          </w:p>
        </w:tc>
        <w:tc>
          <w:tcPr>
            <w:tcW w:w="2268" w:type="dxa"/>
            <w:vAlign w:val="center"/>
          </w:tcPr>
          <w:p>
            <w:pPr>
              <w:pStyle w:val="12"/>
            </w:pPr>
            <w:r>
              <w:t>衡财教【2022】49号《关于提前下达2023年基层科普行动计划中央补助资金的通知》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资金使用效率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提高基层科普能力</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2835" w:type="dxa"/>
            <w:vAlign w:val="center"/>
          </w:tcPr>
          <w:p>
            <w:pPr>
              <w:pStyle w:val="12"/>
            </w:pPr>
            <w:r>
              <w:t>环保节能</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示范带动作用</w:t>
            </w:r>
          </w:p>
        </w:tc>
        <w:tc>
          <w:tcPr>
            <w:tcW w:w="2551" w:type="dxa"/>
            <w:vAlign w:val="center"/>
          </w:tcPr>
          <w:p>
            <w:pPr>
              <w:pStyle w:val="12"/>
            </w:pPr>
            <w:r>
              <w:t>通过基层科普集体和科普带头人带动示范，提高基层科普能力</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服务对象对此的年满意程度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2、科普活动经费绩效目标表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1.科普设施建设，科普能力提升，组织科普活动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科普设施建设数量</w:t>
            </w:r>
          </w:p>
        </w:tc>
        <w:tc>
          <w:tcPr>
            <w:tcW w:w="2835" w:type="dxa"/>
            <w:vAlign w:val="center"/>
          </w:tcPr>
          <w:p>
            <w:pPr>
              <w:pStyle w:val="12"/>
            </w:pPr>
            <w:r>
              <w:t>科普设施建设数量</w:t>
            </w:r>
          </w:p>
        </w:tc>
        <w:tc>
          <w:tcPr>
            <w:tcW w:w="2551" w:type="dxa"/>
            <w:vAlign w:val="center"/>
          </w:tcPr>
          <w:p>
            <w:pPr>
              <w:pStyle w:val="12"/>
            </w:pPr>
            <w:r>
              <w:t>≥2座</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科普活动受众人数</w:t>
            </w:r>
          </w:p>
        </w:tc>
        <w:tc>
          <w:tcPr>
            <w:tcW w:w="2835" w:type="dxa"/>
            <w:vAlign w:val="center"/>
          </w:tcPr>
          <w:p>
            <w:pPr>
              <w:pStyle w:val="12"/>
            </w:pPr>
            <w:r>
              <w:t>科普活动受众人数</w:t>
            </w:r>
          </w:p>
        </w:tc>
        <w:tc>
          <w:tcPr>
            <w:tcW w:w="2551" w:type="dxa"/>
            <w:vAlign w:val="center"/>
          </w:tcPr>
          <w:p>
            <w:pPr>
              <w:pStyle w:val="12"/>
            </w:pPr>
            <w:r>
              <w:t>≥20000人次</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≤33万元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科普影响力</w:t>
            </w:r>
          </w:p>
        </w:tc>
        <w:tc>
          <w:tcPr>
            <w:tcW w:w="2835" w:type="dxa"/>
            <w:vAlign w:val="center"/>
          </w:tcPr>
          <w:p>
            <w:pPr>
              <w:pStyle w:val="12"/>
            </w:pPr>
            <w:r>
              <w:t>科普影响力</w:t>
            </w:r>
          </w:p>
        </w:tc>
        <w:tc>
          <w:tcPr>
            <w:tcW w:w="2551" w:type="dxa"/>
            <w:vAlign w:val="center"/>
          </w:tcPr>
          <w:p>
            <w:pPr>
              <w:pStyle w:val="12"/>
            </w:pPr>
            <w:r>
              <w:t>提高公众科普认可度</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≥3年</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2835" w:type="dxa"/>
            <w:vAlign w:val="center"/>
          </w:tcPr>
          <w:p>
            <w:pPr>
              <w:pStyle w:val="12"/>
            </w:pPr>
            <w:r>
              <w:t>活动参与人员满意度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3、科协管理建设费绩效目标表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1.提高工作效率，保障机关高效运转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相关工作保障率</w:t>
            </w:r>
          </w:p>
        </w:tc>
        <w:tc>
          <w:tcPr>
            <w:tcW w:w="2835" w:type="dxa"/>
            <w:vAlign w:val="center"/>
          </w:tcPr>
          <w:p>
            <w:pPr>
              <w:pStyle w:val="12"/>
            </w:pPr>
            <w:r>
              <w:t>相关工作保障率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2835" w:type="dxa"/>
            <w:vAlign w:val="center"/>
          </w:tcPr>
          <w:p>
            <w:pPr>
              <w:pStyle w:val="12"/>
            </w:pPr>
            <w:r>
              <w:t>资金拨付率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正常使用率</w:t>
            </w:r>
          </w:p>
        </w:tc>
        <w:tc>
          <w:tcPr>
            <w:tcW w:w="2835" w:type="dxa"/>
            <w:vAlign w:val="center"/>
          </w:tcPr>
          <w:p>
            <w:pPr>
              <w:pStyle w:val="12"/>
            </w:pPr>
            <w:r>
              <w:t>正常使用率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2835" w:type="dxa"/>
            <w:vAlign w:val="center"/>
          </w:tcPr>
          <w:p>
            <w:pPr>
              <w:pStyle w:val="12"/>
            </w:pPr>
            <w:r>
              <w:t>工作环境正常</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工作中节能减排</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办公效率</w:t>
            </w:r>
          </w:p>
        </w:tc>
        <w:tc>
          <w:tcPr>
            <w:tcW w:w="2835" w:type="dxa"/>
            <w:vAlign w:val="center"/>
          </w:tcPr>
          <w:p>
            <w:pPr>
              <w:pStyle w:val="12"/>
            </w:pPr>
            <w:r>
              <w:t>办公效率提高</w:t>
            </w:r>
          </w:p>
        </w:tc>
        <w:tc>
          <w:tcPr>
            <w:tcW w:w="2551" w:type="dxa"/>
            <w:vAlign w:val="center"/>
          </w:tcPr>
          <w:p>
            <w:pPr>
              <w:pStyle w:val="12"/>
            </w:pPr>
            <w:r>
              <w:t>办公效率显著提高</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w:t>
            </w:r>
          </w:p>
        </w:tc>
        <w:tc>
          <w:tcPr>
            <w:tcW w:w="2551" w:type="dxa"/>
            <w:vAlign w:val="center"/>
          </w:tcPr>
          <w:p>
            <w:pPr>
              <w:pStyle w:val="12"/>
            </w:pPr>
            <w:r>
              <w:t>≥95%</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4、科协宣传费绩效目标表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1.开办科普栏目，宣传科普知识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开办科普栏目数</w:t>
            </w:r>
          </w:p>
        </w:tc>
        <w:tc>
          <w:tcPr>
            <w:tcW w:w="2835" w:type="dxa"/>
            <w:vAlign w:val="center"/>
          </w:tcPr>
          <w:p>
            <w:pPr>
              <w:pStyle w:val="12"/>
            </w:pPr>
            <w:r>
              <w:t>开办科普栏目数量</w:t>
            </w:r>
          </w:p>
        </w:tc>
        <w:tc>
          <w:tcPr>
            <w:tcW w:w="2551" w:type="dxa"/>
            <w:vAlign w:val="center"/>
          </w:tcPr>
          <w:p>
            <w:pPr>
              <w:pStyle w:val="12"/>
            </w:pPr>
            <w:r>
              <w:t>≥1个</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开办栏目期数</w:t>
            </w:r>
          </w:p>
        </w:tc>
        <w:tc>
          <w:tcPr>
            <w:tcW w:w="2835" w:type="dxa"/>
            <w:vAlign w:val="center"/>
          </w:tcPr>
          <w:p>
            <w:pPr>
              <w:pStyle w:val="12"/>
            </w:pPr>
            <w:r>
              <w:t>开办栏目期数</w:t>
            </w:r>
          </w:p>
        </w:tc>
        <w:tc>
          <w:tcPr>
            <w:tcW w:w="2551" w:type="dxa"/>
            <w:vAlign w:val="center"/>
          </w:tcPr>
          <w:p>
            <w:pPr>
              <w:pStyle w:val="12"/>
            </w:pPr>
            <w:r>
              <w:t>≥24期</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资金利用率</w:t>
            </w:r>
          </w:p>
        </w:tc>
        <w:tc>
          <w:tcPr>
            <w:tcW w:w="2835" w:type="dxa"/>
            <w:vAlign w:val="center"/>
          </w:tcPr>
          <w:p>
            <w:pPr>
              <w:pStyle w:val="12"/>
            </w:pPr>
            <w:r>
              <w:t>资金利用率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栏目受众人数</w:t>
            </w:r>
          </w:p>
        </w:tc>
        <w:tc>
          <w:tcPr>
            <w:tcW w:w="2835" w:type="dxa"/>
            <w:vAlign w:val="center"/>
          </w:tcPr>
          <w:p>
            <w:pPr>
              <w:pStyle w:val="12"/>
            </w:pPr>
            <w:r>
              <w:t>栏目受众人数</w:t>
            </w:r>
          </w:p>
        </w:tc>
        <w:tc>
          <w:tcPr>
            <w:tcW w:w="2551" w:type="dxa"/>
            <w:vAlign w:val="center"/>
          </w:tcPr>
          <w:p>
            <w:pPr>
              <w:pStyle w:val="12"/>
            </w:pPr>
            <w:r>
              <w:t>≥3000人次</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项目持续影响力</w:t>
            </w:r>
          </w:p>
        </w:tc>
        <w:tc>
          <w:tcPr>
            <w:tcW w:w="2551" w:type="dxa"/>
            <w:vAlign w:val="center"/>
          </w:tcPr>
          <w:p>
            <w:pPr>
              <w:pStyle w:val="12"/>
            </w:pPr>
            <w:r>
              <w:t>公众科技意识不断提高</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5、青少年科技活动经费绩效目标表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1.提高青少年科技素质和创新能力</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组织竞赛人数</w:t>
            </w:r>
          </w:p>
        </w:tc>
        <w:tc>
          <w:tcPr>
            <w:tcW w:w="2835" w:type="dxa"/>
            <w:vAlign w:val="center"/>
          </w:tcPr>
          <w:p>
            <w:pPr>
              <w:pStyle w:val="12"/>
            </w:pPr>
            <w:r>
              <w:t>参加创新大赛人数</w:t>
            </w:r>
          </w:p>
        </w:tc>
        <w:tc>
          <w:tcPr>
            <w:tcW w:w="2551" w:type="dxa"/>
            <w:vAlign w:val="center"/>
          </w:tcPr>
          <w:p>
            <w:pPr>
              <w:pStyle w:val="12"/>
            </w:pPr>
            <w:r>
              <w:t>≥2000人</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机器人比赛的参与队伍数</w:t>
            </w:r>
          </w:p>
        </w:tc>
        <w:tc>
          <w:tcPr>
            <w:tcW w:w="2835" w:type="dxa"/>
            <w:vAlign w:val="center"/>
          </w:tcPr>
          <w:p>
            <w:pPr>
              <w:pStyle w:val="12"/>
            </w:pPr>
            <w:r>
              <w:t>机器人比赛参与队伍数</w:t>
            </w:r>
          </w:p>
        </w:tc>
        <w:tc>
          <w:tcPr>
            <w:tcW w:w="2551" w:type="dxa"/>
            <w:vAlign w:val="center"/>
          </w:tcPr>
          <w:p>
            <w:pPr>
              <w:pStyle w:val="12"/>
            </w:pPr>
            <w:r>
              <w:t>≥20队</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≤5万元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青少年对科技创新的认可度</w:t>
            </w:r>
          </w:p>
        </w:tc>
        <w:tc>
          <w:tcPr>
            <w:tcW w:w="2835" w:type="dxa"/>
            <w:vAlign w:val="center"/>
          </w:tcPr>
          <w:p>
            <w:pPr>
              <w:pStyle w:val="12"/>
            </w:pPr>
            <w:r>
              <w:t>青少年对科技创新的认可程度</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科技对青少年的影响</w:t>
            </w:r>
          </w:p>
        </w:tc>
        <w:tc>
          <w:tcPr>
            <w:tcW w:w="2835" w:type="dxa"/>
            <w:vAlign w:val="center"/>
          </w:tcPr>
          <w:p>
            <w:pPr>
              <w:pStyle w:val="12"/>
            </w:pPr>
            <w:r>
              <w:t>科技对青少年的持续影响</w:t>
            </w:r>
          </w:p>
        </w:tc>
        <w:tc>
          <w:tcPr>
            <w:tcW w:w="2551" w:type="dxa"/>
            <w:vAlign w:val="center"/>
          </w:tcPr>
          <w:p>
            <w:pPr>
              <w:pStyle w:val="12"/>
            </w:pPr>
            <w:r>
              <w:t>持续提高科技对青少年的影响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6、全民科学素质行动绩效目标表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1.编印全民科学素质读本和科普宣传品</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印制计划完成量</w:t>
            </w:r>
          </w:p>
        </w:tc>
        <w:tc>
          <w:tcPr>
            <w:tcW w:w="2835" w:type="dxa"/>
            <w:vAlign w:val="center"/>
          </w:tcPr>
          <w:p>
            <w:pPr>
              <w:pStyle w:val="12"/>
            </w:pPr>
            <w:r>
              <w:t>编印计划完成数量</w:t>
            </w:r>
          </w:p>
        </w:tc>
        <w:tc>
          <w:tcPr>
            <w:tcW w:w="2551" w:type="dxa"/>
            <w:vAlign w:val="center"/>
          </w:tcPr>
          <w:p>
            <w:pPr>
              <w:pStyle w:val="12"/>
            </w:pPr>
            <w:r>
              <w:t>≥10000册</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编印读本、宣传品种类</w:t>
            </w:r>
          </w:p>
        </w:tc>
        <w:tc>
          <w:tcPr>
            <w:tcW w:w="2835" w:type="dxa"/>
            <w:vAlign w:val="center"/>
          </w:tcPr>
          <w:p>
            <w:pPr>
              <w:pStyle w:val="12"/>
            </w:pPr>
            <w:r>
              <w:t>编印读本、宣传品种类数</w:t>
            </w:r>
          </w:p>
        </w:tc>
        <w:tc>
          <w:tcPr>
            <w:tcW w:w="2551" w:type="dxa"/>
            <w:vAlign w:val="center"/>
          </w:tcPr>
          <w:p>
            <w:pPr>
              <w:pStyle w:val="12"/>
            </w:pPr>
            <w:r>
              <w:t>≥3种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≤7万元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提高资金使用效益</w:t>
            </w:r>
          </w:p>
        </w:tc>
        <w:tc>
          <w:tcPr>
            <w:tcW w:w="2551" w:type="dxa"/>
            <w:vAlign w:val="center"/>
          </w:tcPr>
          <w:p>
            <w:pPr>
              <w:pStyle w:val="12"/>
            </w:pPr>
            <w:r>
              <w:t>有效使用资金</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增强社会科技氛围</w:t>
            </w:r>
          </w:p>
        </w:tc>
        <w:tc>
          <w:tcPr>
            <w:tcW w:w="2551" w:type="dxa"/>
            <w:vAlign w:val="center"/>
          </w:tcPr>
          <w:p>
            <w:pPr>
              <w:pStyle w:val="12"/>
            </w:pPr>
            <w:r>
              <w:t>增强社会科技氛围</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工作中节能减排</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项目持续发挥作用时限</w:t>
            </w:r>
          </w:p>
        </w:tc>
        <w:tc>
          <w:tcPr>
            <w:tcW w:w="2835" w:type="dxa"/>
            <w:vAlign w:val="center"/>
          </w:tcPr>
          <w:p>
            <w:pPr>
              <w:pStyle w:val="12"/>
            </w:pPr>
            <w:r>
              <w:t>项目持续发挥作用期限</w:t>
            </w:r>
          </w:p>
        </w:tc>
        <w:tc>
          <w:tcPr>
            <w:tcW w:w="2551" w:type="dxa"/>
            <w:vAlign w:val="center"/>
          </w:tcPr>
          <w:p>
            <w:pPr>
              <w:pStyle w:val="12"/>
            </w:pPr>
            <w:r>
              <w:t>长期持续影响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7、省级支持市县科技创新和科学普及资金绩效目标表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1.基层科普行动计划和流动科技馆运行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流动科技馆巡展场次</w:t>
            </w:r>
          </w:p>
        </w:tc>
        <w:tc>
          <w:tcPr>
            <w:tcW w:w="2835" w:type="dxa"/>
            <w:vAlign w:val="center"/>
          </w:tcPr>
          <w:p>
            <w:pPr>
              <w:pStyle w:val="12"/>
            </w:pPr>
            <w:r>
              <w:t>流动科技馆巡展数量</w:t>
            </w:r>
          </w:p>
        </w:tc>
        <w:tc>
          <w:tcPr>
            <w:tcW w:w="2551" w:type="dxa"/>
            <w:vAlign w:val="center"/>
          </w:tcPr>
          <w:p>
            <w:pPr>
              <w:pStyle w:val="12"/>
            </w:pPr>
            <w:r>
              <w:t>≥4场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100%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≤33万元</w:t>
            </w:r>
          </w:p>
        </w:tc>
        <w:tc>
          <w:tcPr>
            <w:tcW w:w="2268" w:type="dxa"/>
            <w:vAlign w:val="center"/>
          </w:tcPr>
          <w:p>
            <w:pPr>
              <w:pStyle w:val="12"/>
            </w:pPr>
            <w:r>
              <w:t>预算及工作安排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资金使用效率</w:t>
            </w:r>
          </w:p>
        </w:tc>
        <w:tc>
          <w:tcPr>
            <w:tcW w:w="2835" w:type="dxa"/>
            <w:vAlign w:val="center"/>
          </w:tcPr>
          <w:p>
            <w:pPr>
              <w:pStyle w:val="12"/>
            </w:pPr>
            <w:r>
              <w:t>资金使用效率</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提高科普能力</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2835" w:type="dxa"/>
            <w:vAlign w:val="center"/>
          </w:tcPr>
          <w:p>
            <w:pPr>
              <w:pStyle w:val="12"/>
            </w:pPr>
            <w:r>
              <w:t>环保节能</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该项目影响时间</w:t>
            </w:r>
          </w:p>
        </w:tc>
        <w:tc>
          <w:tcPr>
            <w:tcW w:w="2835" w:type="dxa"/>
            <w:vAlign w:val="center"/>
          </w:tcPr>
          <w:p>
            <w:pPr>
              <w:pStyle w:val="12"/>
            </w:pPr>
            <w:r>
              <w:t>项目影响时间</w:t>
            </w:r>
          </w:p>
        </w:tc>
        <w:tc>
          <w:tcPr>
            <w:tcW w:w="2551" w:type="dxa"/>
            <w:vAlign w:val="center"/>
          </w:tcPr>
          <w:p>
            <w:pPr>
              <w:pStyle w:val="12"/>
            </w:pPr>
            <w:r>
              <w:t>长期</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8、学术交流活动绩效目标表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1.加强学术交流，提升学会能力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补助学术活动项目数</w:t>
            </w:r>
          </w:p>
        </w:tc>
        <w:tc>
          <w:tcPr>
            <w:tcW w:w="2835" w:type="dxa"/>
            <w:vAlign w:val="center"/>
          </w:tcPr>
          <w:p>
            <w:pPr>
              <w:pStyle w:val="12"/>
            </w:pPr>
            <w:r>
              <w:t>补助学术活动数量</w:t>
            </w:r>
          </w:p>
        </w:tc>
        <w:tc>
          <w:tcPr>
            <w:tcW w:w="2551" w:type="dxa"/>
            <w:vAlign w:val="center"/>
          </w:tcPr>
          <w:p>
            <w:pPr>
              <w:pStyle w:val="12"/>
            </w:pPr>
            <w:r>
              <w:t>≥3个</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参与学术活动人次</w:t>
            </w:r>
          </w:p>
        </w:tc>
        <w:tc>
          <w:tcPr>
            <w:tcW w:w="2835" w:type="dxa"/>
            <w:vAlign w:val="center"/>
          </w:tcPr>
          <w:p>
            <w:pPr>
              <w:pStyle w:val="12"/>
            </w:pPr>
            <w:r>
              <w:t>参与学术活动的人次</w:t>
            </w:r>
          </w:p>
        </w:tc>
        <w:tc>
          <w:tcPr>
            <w:tcW w:w="2551" w:type="dxa"/>
            <w:vAlign w:val="center"/>
          </w:tcPr>
          <w:p>
            <w:pPr>
              <w:pStyle w:val="12"/>
            </w:pPr>
            <w:r>
              <w:t>≥400人次</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提高从业人员素质</w:t>
            </w:r>
          </w:p>
        </w:tc>
        <w:tc>
          <w:tcPr>
            <w:tcW w:w="2835" w:type="dxa"/>
            <w:vAlign w:val="center"/>
          </w:tcPr>
          <w:p>
            <w:pPr>
              <w:pStyle w:val="12"/>
            </w:pPr>
            <w:r>
              <w:t>提高从业人员素质</w:t>
            </w:r>
          </w:p>
        </w:tc>
        <w:tc>
          <w:tcPr>
            <w:tcW w:w="2551" w:type="dxa"/>
            <w:vAlign w:val="center"/>
          </w:tcPr>
          <w:p>
            <w:pPr>
              <w:pStyle w:val="12"/>
            </w:pPr>
            <w:r>
              <w:t>提高学术水平</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长期持续影响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2023年，衡水市科学技术协会安排政府采购预算0.00万元。具体内容见下表。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731衡水市科学技术协会</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olor w:val="000000"/>
          <w:sz w:val="32"/>
          <w:lang w:eastAsia="zh-CN"/>
        </w:rPr>
      </w:pPr>
      <w:r>
        <w:rPr>
          <w:rFonts w:eastAsia="方正仿宋_GBK"/>
          <w:color w:val="000000"/>
          <w:sz w:val="32"/>
        </w:rPr>
        <w:t xml:space="preserve"> </w:t>
      </w: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lang w:eastAsia="zh-CN"/>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衡水市科学技术协会（含所属单位）上年末固定资产金额为</w:t>
      </w:r>
      <w:r>
        <w:rPr>
          <w:rFonts w:hint="eastAsia" w:eastAsia="方正仿宋_GBK"/>
          <w:color w:val="000000"/>
          <w:sz w:val="28"/>
          <w:lang w:eastAsia="zh-CN"/>
        </w:rPr>
        <w:t>111.63</w:t>
      </w:r>
      <w:r>
        <w:rPr>
          <w:rFonts w:eastAsia="方正仿宋_GBK"/>
          <w:color w:val="000000"/>
          <w:sz w:val="28"/>
        </w:rPr>
        <w:t>0万元（详见下表）。本年度拟购置固定资产总额为0.00万元</w:t>
      </w:r>
      <w:bookmarkStart w:id="18" w:name="_GoBack"/>
      <w:bookmarkEnd w:id="18"/>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731衡水市科学技术协会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449</w:t>
            </w:r>
          </w:p>
        </w:tc>
        <w:tc>
          <w:tcPr>
            <w:tcW w:w="2835" w:type="dxa"/>
            <w:vAlign w:val="center"/>
          </w:tcPr>
          <w:p>
            <w:pPr>
              <w:pStyle w:val="11"/>
              <w:rPr>
                <w:lang w:eastAsia="zh-CN"/>
              </w:rPr>
            </w:pPr>
            <w:r>
              <w:rPr>
                <w:rFonts w:hint="eastAsia"/>
                <w:lang w:eastAsia="zh-CN"/>
              </w:rPr>
              <w:t>111.63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lang w:eastAsia="zh-CN"/>
              </w:rPr>
            </w:pPr>
            <w:r>
              <w:rPr>
                <w:rFonts w:hint="eastAsia"/>
                <w:lang w:eastAsia="zh-CN"/>
              </w:rPr>
              <w:t>1036.8</w:t>
            </w:r>
          </w:p>
        </w:tc>
        <w:tc>
          <w:tcPr>
            <w:tcW w:w="2835" w:type="dxa"/>
            <w:vAlign w:val="center"/>
          </w:tcPr>
          <w:p>
            <w:pPr>
              <w:pStyle w:val="11"/>
              <w:rPr>
                <w:lang w:eastAsia="zh-CN"/>
              </w:rPr>
            </w:pPr>
            <w:r>
              <w:rPr>
                <w:rFonts w:hint="eastAsia"/>
                <w:lang w:eastAsia="zh-CN"/>
              </w:rP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lang w:eastAsia="zh-CN"/>
              </w:rPr>
            </w:pPr>
            <w:r>
              <w:rPr>
                <w:rFonts w:hint="eastAsia"/>
                <w:lang w:eastAsia="zh-CN"/>
              </w:rPr>
              <w:t>1036.8</w:t>
            </w:r>
          </w:p>
        </w:tc>
        <w:tc>
          <w:tcPr>
            <w:tcW w:w="2835" w:type="dxa"/>
            <w:vAlign w:val="center"/>
          </w:tcPr>
          <w:p>
            <w:pPr>
              <w:pStyle w:val="11"/>
              <w:rPr>
                <w:lang w:eastAsia="zh-CN"/>
              </w:rPr>
            </w:pPr>
            <w:r>
              <w:rPr>
                <w:rFonts w:hint="eastAsia"/>
                <w:lang w:eastAsia="zh-CN"/>
              </w:rP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lang w:eastAsia="zh-CN"/>
              </w:rPr>
            </w:pPr>
            <w:r>
              <w:rPr>
                <w:rFonts w:hint="eastAsia"/>
                <w:lang w:eastAsia="zh-CN"/>
              </w:rPr>
              <w:t>1</w:t>
            </w:r>
          </w:p>
        </w:tc>
        <w:tc>
          <w:tcPr>
            <w:tcW w:w="2835" w:type="dxa"/>
            <w:vAlign w:val="center"/>
          </w:tcPr>
          <w:p>
            <w:pPr>
              <w:pStyle w:val="11"/>
              <w:rPr>
                <w:lang w:eastAsia="zh-CN"/>
              </w:rPr>
            </w:pPr>
            <w:r>
              <w:rPr>
                <w:rFonts w:hint="eastAsia"/>
                <w:lang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lang w:val="en"/>
              </w:rPr>
            </w:pPr>
            <w:r>
              <w:rPr>
                <w:rFonts w:hint="default"/>
                <w:lang w:val="en"/>
              </w:rPr>
              <w:t>446</w:t>
            </w:r>
          </w:p>
        </w:tc>
        <w:tc>
          <w:tcPr>
            <w:tcW w:w="2835" w:type="dxa"/>
            <w:vAlign w:val="center"/>
          </w:tcPr>
          <w:p>
            <w:pPr>
              <w:pStyle w:val="11"/>
              <w:rPr>
                <w:lang w:eastAsia="zh-CN"/>
              </w:rPr>
            </w:pPr>
            <w:r>
              <w:rPr>
                <w:rFonts w:hint="eastAsia"/>
                <w:lang w:eastAsia="zh-CN"/>
              </w:rPr>
              <w:t>68.61</w:t>
            </w:r>
          </w:p>
        </w:tc>
      </w:tr>
    </w:tbl>
    <w:p>
      <w:pPr>
        <w:rPr>
          <w:rFonts w:hint="eastAsia"/>
          <w:lang w:eastAsia="zh-CN"/>
        </w:rPr>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lang w:eastAsia="zh-CN"/>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rPr>
          <w:lang w:eastAsia="zh-CN"/>
        </w:rPr>
      </w:pP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JhYjMxOGZhNDM2NmZmODA3MjMwNzRhZjEwMmVjOTcifQ=="/>
  </w:docVars>
  <w:rsids>
    <w:rsidRoot w:val="006D4D7B"/>
    <w:rsid w:val="0004114A"/>
    <w:rsid w:val="00107F88"/>
    <w:rsid w:val="001D27BD"/>
    <w:rsid w:val="005A011E"/>
    <w:rsid w:val="005D22F4"/>
    <w:rsid w:val="00672A68"/>
    <w:rsid w:val="006A1BBB"/>
    <w:rsid w:val="006D4D7B"/>
    <w:rsid w:val="00740BFB"/>
    <w:rsid w:val="00741637"/>
    <w:rsid w:val="00756B93"/>
    <w:rsid w:val="007E6473"/>
    <w:rsid w:val="00814497"/>
    <w:rsid w:val="00823730"/>
    <w:rsid w:val="008C26EE"/>
    <w:rsid w:val="008F52DF"/>
    <w:rsid w:val="00937719"/>
    <w:rsid w:val="00960909"/>
    <w:rsid w:val="009C2B22"/>
    <w:rsid w:val="00A729DE"/>
    <w:rsid w:val="00AC07E1"/>
    <w:rsid w:val="00B43996"/>
    <w:rsid w:val="00B72357"/>
    <w:rsid w:val="00D35598"/>
    <w:rsid w:val="00D647E4"/>
    <w:rsid w:val="00DB0318"/>
    <w:rsid w:val="00E4040D"/>
    <w:rsid w:val="00E76C1F"/>
    <w:rsid w:val="00FE7AD7"/>
    <w:rsid w:val="017E6B22"/>
    <w:rsid w:val="02620812"/>
    <w:rsid w:val="05F1472F"/>
    <w:rsid w:val="187A6B42"/>
    <w:rsid w:val="21A065A0"/>
    <w:rsid w:val="2FB6EAE4"/>
    <w:rsid w:val="4226194F"/>
    <w:rsid w:val="6840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2288</Words>
  <Characters>13046</Characters>
  <Lines>108</Lines>
  <Paragraphs>30</Paragraphs>
  <TotalTime>95</TotalTime>
  <ScaleCrop>false</ScaleCrop>
  <LinksUpToDate>false</LinksUpToDate>
  <CharactersWithSpaces>15304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2023-01-17T15:59:00Z</dcterms:created>
  <dc:creator>lenovo</dc:creator>
  <cp:lastModifiedBy>lenovo</cp:lastModifiedBy>
  <dcterms:modified xsi:type="dcterms:W3CDTF">2023-08-25T03:22:31Z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011D697BF3504CEFAA050BB4F703F8BF_12</vt:lpwstr>
  </property>
</Properties>
</file>